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Гигиена детей и подростков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2   ·   Вопросов: 24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02:57 МСК · База обновлена: 25.07.2026, 02:50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  <w:spacing w:after="160"/>
      </w:pPr>
      <w:r>
        <w:t>Содержание</w:t>
      </w:r>
    </w:p>
    <w:p>
      <w:pPr>
        <w:spacing w:after="80"/>
      </w:pPr>
      <w:hyperlink w:anchor="case_0001" w:history="1">
        <w:r>
          <w:rPr>
            <w:color w:val="164A57"/>
            <w:u w:val="single"/>
          </w:rPr>
          <w:t>Ситуационная задача 0001</w:t>
        </w:r>
      </w:hyperlink>
    </w:p>
    <w:p>
      <w:pPr>
        <w:spacing w:after="80"/>
      </w:pPr>
      <w:hyperlink w:anchor="case_0002" w:history="1">
        <w:r>
          <w:rPr>
            <w:color w:val="164A57"/>
            <w:u w:val="single"/>
          </w:rPr>
          <w:t>Ситуационная задача 0002</w:t>
        </w:r>
      </w:hyperlink>
    </w:p>
    <w:p>
      <w:r>
        <w:br w:type="page"/>
      </w:r>
    </w:p>
    <w:p>
      <w:pPr>
        <w:pStyle w:val="Heading1"/>
      </w:pPr>
      <w:bookmarkStart w:id="1001" w:name="case_0001"/>
      <w:r>
        <w:t>Ситуационная задача 0001</w:t>
      </w:r>
      <w:bookmarkEnd w:id="1001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Гигиена детей и подростков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Подготовить и провести плановое выездное обследование дошкольной образовательной организации.</w:t>
      </w:r>
    </w:p>
    <w:p>
      <w:pPr>
        <w:pStyle w:val="Heading2"/>
      </w:pPr>
      <w:r>
        <w:t>1. Оценка ситуации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К подготовительной работе перед началом плановых надзорных мероприятий относят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отправку уведомления о начале надзорного мероприятия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отправку запроса о предоставлении документации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принятие решения о проведении надзорного мероприятия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согласование плана надзорных мероприятий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размещение информации о плане надзорных мероприятий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планирование надзорных мероприятий в соответствии с риск-ориентированным подходом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1 — отправку уведомления о начале надзорного мероприятия; 3 — принятие решения о проведении надзорного мероприятия; 4 — согласование плана надзорных мероприятий; 5 — размещение информации о плане надзорных мероприятий; 6 — планирование надзорных мероприятий в соответствии с риск-ориентированным подходом</w:t>
      </w:r>
    </w:p>
    <w:p>
      <w:pPr>
        <w:ind w:left="504"/>
      </w:pPr>
      <w:r>
        <w:rPr>
          <w:b w:val="0"/>
          <w:i/>
        </w:rPr>
        <w:t>Информирование контролируемых лиц о совершаемых должностными лицами контрольного (надзорного) органа и иными уполномоченными лицами действиях и принимаемых решениях осуществляется в сроки и порядке, установленные настоящим Федеральным законом, путем размещения сведений об указанных действиях и решениях в едином реестре контрольных (надзорных) мероприятий, а также доведения их до контролируемых лиц посредством инфраструктуры,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и исполнения государственных и муниципальных функций в электронной форме, в том числе через федеральную государственную информационную систему «Единый портал государственных и муниципальных услуг (функций)» (далее - единый портал государственных и муниципальных услуг) и (или) через региональный портал государственных и муниципальных услуг.</w:t>
        <w:br/>
        <w:br/>
        <w:t>Федерального закона № 248-ФЗ «О государственном контроле (надзоре) и муниципальном контроле в Российской Федерации» от 31.07.2020, п.4 ст.21</w:t>
        <w:br/>
        <w:br/>
      </w:r>
      <w:hyperlink r:id="rId24">
        <w:r>
          <w:rPr>
            <w:color w:val="173C49"/>
            <w:u w:val="single"/>
          </w:rPr>
          <w:t>Федеральный закон 31 июля 2020 г. N 248-ФЗ "О государственном контроле (надзоре) и муниципальном контроле в Российской Федерации"</w:t>
        </w:r>
      </w:hyperlink>
      <w:r>
        <w:rPr>
          <w:b w:val="0"/>
          <w:i/>
        </w:rPr>
        <w:t xml:space="preserve"> </w:t>
      </w:r>
      <w:hyperlink r:id="rId25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Для проведения контрольного (надзорного) мероприятия принимается решение контрольного (надзорного) органа, подписанное уполномоченным должностным лицом контрольного (надзорного) органа (далее - решение о проведении контрольного (надзорного) мероприятия, предусматривающего взаимодействие с контролируемым лицом, а также документарной проверки) «..»</w:t>
        <w:br/>
        <w:br/>
        <w:t>Федерального закона № 248-ФЗ «О государственном контроле (надзоре) и муниципальном контроле в Российской Федерации» от 31.07.2020, п.1 ст.64</w:t>
        <w:br/>
        <w:br/>
      </w:r>
      <w:hyperlink r:id="rId24">
        <w:r>
          <w:rPr>
            <w:color w:val="173C49"/>
            <w:u w:val="single"/>
          </w:rPr>
          <w:t>Федеральный закон 31 июля 2020 г. N 248-ФЗ "О государственном контроле (надзоре) и муниципальном контроле в Российской Федерации"</w:t>
        </w:r>
      </w:hyperlink>
      <w:r>
        <w:rPr>
          <w:b w:val="0"/>
          <w:i/>
        </w:rPr>
        <w:t xml:space="preserve"> </w:t>
      </w:r>
      <w:hyperlink r:id="rId26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Плановые контрольные (надзорные) мероприятия проводятся на основании плана проведения плановых контрольных (надзорных) мероприятий на очередной календарный год (далее - ежегодный план контрольных (надзорных) мероприятий), формируемого контрольным (надзорным) органом и подлежащего согласованию с органами прокуратуры.</w:t>
        <w:br/>
        <w:br/>
        <w:t>Федерального закона № 248-ФЗ «О государственном контроле (надзоре) и муниципальном контроле в Российской Федерации» от 31.07.2020, ст. 61</w:t>
        <w:br/>
        <w:br/>
      </w:r>
      <w:hyperlink r:id="rId24">
        <w:r>
          <w:rPr>
            <w:color w:val="173C49"/>
            <w:u w:val="single"/>
          </w:rPr>
          <w:t>Федеральный закон 31 июля 2020 г. N 248-ФЗ "О государственном контроле (надзоре) и муниципальном контроле в Российской Федерации"</w:t>
        </w:r>
      </w:hyperlink>
      <w:r>
        <w:rPr>
          <w:b w:val="0"/>
          <w:i/>
        </w:rPr>
        <w:t xml:space="preserve"> </w:t>
      </w:r>
      <w:hyperlink r:id="rId27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В целях информационного обеспечения государственного контроля (надзора), муниципального контроля создаются:</w:t>
        <w:br/>
        <w:br/>
        <w:t>1) единый реестр видов федерального государственного контроля (надзора), регионального государственного контроля (надзора), муниципального контроля (далее также - единый реестр видов контроля);</w:t>
        <w:br/>
        <w:br/>
        <w:t>2) единый реестр контрольных (надзорных) мероприятий «…».</w:t>
        <w:br/>
        <w:br/>
        <w:t>Проведение контрольных (надзорных) мероприятий, информация о которых на момент начала их проведения в едином реестре контрольных (надзорных) мероприятий отсутствует, не допускается.</w:t>
        <w:br/>
        <w:br/>
        <w:t>Федерального закона № 248-ФЗ «О государственном контроле (надзоре) и муниципальном контроле в Российской Федерации» от 31.07.2020, п.1 ст.17, п.4 ст. 19</w:t>
        <w:br/>
        <w:br/>
      </w:r>
      <w:hyperlink r:id="rId24">
        <w:r>
          <w:rPr>
            <w:color w:val="173C49"/>
            <w:u w:val="single"/>
          </w:rPr>
          <w:t>Федеральный закон 31 июля 2020 г. N 248-ФЗ "О государственном контроле (надзоре) и муниципальном контроле в Российской Федерации"</w:t>
        </w:r>
      </w:hyperlink>
      <w:r>
        <w:rPr>
          <w:b w:val="0"/>
          <w:i/>
        </w:rPr>
        <w:t xml:space="preserve"> </w:t>
      </w:r>
      <w:hyperlink r:id="rId28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29">
        <w:r>
          <w:rPr>
            <w:color w:val="173C49"/>
            <w:u w:val="single"/>
          </w:rPr>
          <w:t>(2)</w:t>
        </w:r>
      </w:hyperlink>
    </w:p>
    <w:p>
      <w:pPr>
        <w:ind w:left="504"/>
      </w:pPr>
      <w:r>
        <w:rPr>
          <w:b w:val="0"/>
          <w:i/>
        </w:rPr>
        <w:t>Государственный контроль (надзор), муниципальный контроль осуществляются на основе управления рисками причинения вреда (ущерба), определяющего выбор профилактических мероприятий и контрольных (надзорных) мероприятий, их содержание (в том числе объем проверяемых обязательных требований), интенсивность и результаты.</w:t>
        <w:br/>
        <w:br/>
        <w:t>В соответствии с п.1 ст. 22 Федерального закона «О государственном контроле (надзоре) и муниципальном контроле в Российской Федерации» от 31.07.2020 № 248-ФЗ</w:t>
        <w:br/>
        <w:br/>
      </w:r>
      <w:hyperlink r:id="rId24">
        <w:r>
          <w:rPr>
            <w:color w:val="173C49"/>
            <w:u w:val="single"/>
          </w:rPr>
          <w:t>Федеральный закон 31 июля 2020 г. N 248-ФЗ "О государственном контроле (надзоре) и муниципальном контроле в Российской Федерации"</w:t>
        </w:r>
      </w:hyperlink>
      <w:r>
        <w:rPr>
          <w:b w:val="0"/>
          <w:i/>
        </w:rPr>
        <w:t xml:space="preserve"> </w:t>
      </w:r>
      <w:hyperlink r:id="rId30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Зонирование собственной территории дошкольной организации предусматривает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выделение игровой зоны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выделение физкультурно-оздоровительной зоны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наличие групповых и физкультурно-оздоровительных площадок в игровой зоне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выделение хозяйственной зоны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выделение учебно-опытной зоны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наличие специально выделенного места для хранения колясок, санок, велосипедов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1 — выделение игровой зоны; 3 — наличие групповых и физкультурно-оздоровительных площадок в игровой зоне; 4 — выделение хозяйственной зоны; 6 — наличие специально выделенного места для хранения колясок, санок, велосипедов</w:t>
      </w:r>
    </w:p>
    <w:p>
      <w:pPr>
        <w:ind w:left="504"/>
      </w:pPr>
      <w:r>
        <w:rPr>
          <w:b w:val="0"/>
          <w:i/>
        </w:rPr>
        <w:t>На собственной территории дошкольной организации следует располагать игровую (групповые и физкультурно-оздоровительные площадки) и хозяйственную зоны, а также место для хранения колясок, велосипедов, санок.</w:t>
        <w:br/>
        <w:br/>
        <w:t>СП 2.4.3648-20 «Санитарно-эпидемиологические требования к организациям воспитания и обучения, отдыха и оздоровления детей и молодежи», п. 3.1.2.</w:t>
        <w:br/>
        <w:br/>
      </w:r>
      <w:hyperlink r:id="rId31">
        <w:r>
          <w:rPr>
            <w:color w:val="173C49"/>
            <w:u w:val="single"/>
          </w:rPr>
          <w:t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  <w:r>
        <w:rPr>
          <w:b w:val="0"/>
          <w:i/>
        </w:rPr>
        <w:t xml:space="preserve"> </w:t>
      </w:r>
      <w:hyperlink r:id="rId32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На собственной территории дошкольной организации следует располагать игровую (групповые и физкультурно-оздоровительные площадки) и хозяйственную зоны, а также место для хранения колясок, велосипедов, санок.</w:t>
        <w:br/>
        <w:br/>
        <w:t>СП 2.4.3648-20 «Санитарно-эпидемиологические требования к организациям воспитания и обучения, отдыха и оздоровления детей и молодежи», п. 3.1.2.</w:t>
        <w:br/>
        <w:br/>
      </w:r>
      <w:hyperlink r:id="rId31">
        <w:r>
          <w:rPr>
            <w:color w:val="173C49"/>
            <w:u w:val="single"/>
          </w:rPr>
          <w:t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  <w:r>
        <w:rPr>
          <w:b w:val="0"/>
          <w:i/>
        </w:rPr>
        <w:t xml:space="preserve"> </w:t>
      </w:r>
      <w:hyperlink r:id="rId32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На собственной территории дошкольной организации следует располагать игровую (групповые и физкультурно-оздоровительные площадки) и хозяйственную зоны, а также место для хранения колясок, велосипедов, санок.</w:t>
        <w:br/>
        <w:br/>
        <w:t>СП 2.4.3648-20 «Санитарно-эпидемиологические требования к организациям воспитания и обучения, отдыха и оздоровления детей и молодежи», п. 3.1.2.</w:t>
        <w:br/>
        <w:br/>
      </w:r>
      <w:hyperlink r:id="rId31">
        <w:r>
          <w:rPr>
            <w:color w:val="173C49"/>
            <w:u w:val="single"/>
          </w:rPr>
          <w:t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  <w:r>
        <w:rPr>
          <w:b w:val="0"/>
          <w:i/>
        </w:rPr>
        <w:t xml:space="preserve"> </w:t>
      </w:r>
      <w:hyperlink r:id="rId32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На собственной территории дошкольной организации следует располагать игровую (групповые и физкультурно-оздоровительные площадки) и хозяйственную зоны, а также место для хранения колясок, велосипедов, санок.</w:t>
        <w:br/>
        <w:br/>
        <w:t>СП 2.4.3648-20 «Санитарно-эпидемиологические требования к организациям воспитания и обучения, отдыха и оздоровления детей и молодежи», п. 3.1.2.</w:t>
        <w:br/>
        <w:br/>
      </w:r>
      <w:hyperlink r:id="rId31">
        <w:r>
          <w:rPr>
            <w:color w:val="173C49"/>
            <w:u w:val="single"/>
          </w:rPr>
          <w:t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  <w:r>
        <w:rPr>
          <w:b w:val="0"/>
          <w:i/>
        </w:rPr>
        <w:t xml:space="preserve"> </w:t>
      </w:r>
      <w:hyperlink r:id="rId32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К критериям, определяющим количество детей в группах дошкольной образовательной организации, относят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режим дня в организации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состояние здоровья воспитанников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показатели физического развития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компенсирующую или комбинированную направленность групп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климатическую зону размещения организации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возраст воспитанников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2 — состояние здоровья воспитанников; 4 — компенсирующую или комбинированную направленность групп; 6 — возраст воспитанников</w:t>
      </w:r>
    </w:p>
    <w:p>
      <w:pPr>
        <w:ind w:left="504"/>
      </w:pPr>
      <w:r>
        <w:rPr>
          <w:b w:val="0"/>
          <w:i/>
        </w:rPr>
        <w:t>Количество воспитанников с ограниченными возможностями здоровья определяется исходя из расчета соблюдения нормы площади на одного воспитанника, а также соблюдения требований к расстановке мебели в соответствии с Правилами.</w:t>
        <w:br/>
        <w:br/>
        <w:t>СП 2.4.3648-20 «Санитарно-эпидемиологические требования к организациям воспитания и обучения, отдыха и оздоровления детей и молодежи», п. 3.1.1.</w:t>
        <w:br/>
        <w:br/>
      </w:r>
      <w:hyperlink r:id="rId31">
        <w:r>
          <w:rPr>
            <w:color w:val="173C49"/>
            <w:u w:val="single"/>
          </w:rPr>
          <w:t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  <w:r>
        <w:rPr>
          <w:b w:val="0"/>
          <w:i/>
        </w:rPr>
        <w:t xml:space="preserve"> </w:t>
      </w:r>
      <w:hyperlink r:id="rId34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Количество детей в группах компенсирующей направленности не должно превышать:</w:t>
        <w:br/>
        <w:br/>
        <w:t>для детей с тяжелыми нарушениями речи - 6 детей в возрасте до 3 лет и 10 детей в возрасте старше 3 лет, для детей с фонетико-фонематическими нарушениями речи - 12 детей в возрасте старше 3 лет, для глухих детей - 6 детей для обеих возрастных групп «…»</w:t>
        <w:br/>
        <w:br/>
        <w:t>Количество детей в группах комбинированной направленности не должно превышать:</w:t>
        <w:br/>
        <w:br/>
        <w:t>в возрасте до 3 лет - не более 10 детей, в том числе не более 3 детей с ограниченными возможностями здоровья «…»</w:t>
        <w:br/>
        <w:br/>
        <w:t>СП 2.4.3648-20 «Санитарно-эпидемиологические требования к организациям воспитания и обучения, отдыха и оздоровления детей и молодежи», п. 3.1.1.</w:t>
        <w:br/>
        <w:br/>
      </w:r>
      <w:hyperlink r:id="rId31">
        <w:r>
          <w:rPr>
            <w:color w:val="173C49"/>
            <w:u w:val="single"/>
          </w:rPr>
          <w:t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  <w:r>
        <w:rPr>
          <w:b w:val="0"/>
          <w:i/>
        </w:rPr>
        <w:t xml:space="preserve"> </w:t>
      </w:r>
      <w:hyperlink r:id="rId34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Для групп раннего возраста (до 3 лет) - не менее 2,5 м на 1 ребенка и для групп дошкольного возраста (от 3 до 7 лет) - не менее 2 м на одного ребенка, без учета мебели и ее расстановки. Площадь спальной для детей до 3 дет должна составлять не менее 1,8 м на ребенка, для детей от 3 до 7 лет - не менее 2,0 м не ребенка. Физкультурный зал для детей дошкольного возраста должен быть не менее 75 м.</w:t>
        <w:br/>
        <w:br/>
        <w:t>СП 2.4.3648-20 «Санитарно-эпидемиологические требования к организациям воспитания и обучения, отдыха и оздоровления детей и молодежи», п. 3.1.1.</w:t>
        <w:br/>
        <w:br/>
      </w:r>
      <w:hyperlink r:id="rId31">
        <w:r>
          <w:rPr>
            <w:color w:val="173C49"/>
            <w:u w:val="single"/>
          </w:rPr>
          <w:t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  <w:r>
        <w:rPr>
          <w:b w:val="0"/>
          <w:i/>
        </w:rPr>
        <w:t xml:space="preserve"> </w:t>
      </w:r>
      <w:hyperlink r:id="rId35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Планировка помещений дошкольной образовательной организации предусматривает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размещение групповых ячеек не выше третьего этажа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7" name="Picture 1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размещение групповых ячеек для детей до 3-х лет на первом этаже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8" name="Picture 1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наличие изолированных помещений для каждой детской группы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9" name="Picture 1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самостоятельный вход на игровую площадку из групповых ячеек для детей младенческого и раннего возраста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размещение всех групповых ячеек на 3-м этаже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0" name="Picture 20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размещение групповых ячеек для детей с нарушениями опорно-двигательного аппарата и зрения на 1-м этаже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1 — размещение групповых ячеек не выше третьего этажа; 2 — размещение групповых ячеек для детей до 3-х лет на первом этаже; 3 — наличие изолированных помещений для каждой детской группы; 4 — самостоятельный вход на игровую площадку из групповых ячеек для детей младенческого и раннего возраста; 6 — размещение групповых ячеек для детей с нарушениями опорно-двигательного аппарата и зрения на 1-м этаже</w:t>
      </w:r>
    </w:p>
    <w:p>
      <w:pPr>
        <w:ind w:left="504"/>
      </w:pPr>
      <w:r>
        <w:rPr>
          <w:b w:val="0"/>
          <w:i/>
        </w:rPr>
        <w:t>Групповые ячейки размещаются не выше третьего этажа, «…»</w:t>
        <w:br/>
        <w:br/>
        <w:t>СП 2.4.3648-20 «Санитарно-эпидемиологические требования к организациям воспитания и обучения, отдыха и оздоровления детей и молодежи», п. 3.1.3.</w:t>
        <w:br/>
        <w:br/>
      </w:r>
      <w:hyperlink r:id="rId31">
        <w:r>
          <w:rPr>
            <w:color w:val="173C49"/>
            <w:u w:val="single"/>
          </w:rPr>
          <w:t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  <w:r>
        <w:rPr>
          <w:b w:val="0"/>
          <w:i/>
        </w:rPr>
        <w:t xml:space="preserve"> </w:t>
      </w:r>
      <w:hyperlink r:id="rId36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«…» Групповые ячейки для детей до 3-х лет располагаются на 1 этаже.</w:t>
        <w:br/>
        <w:br/>
        <w:t>СП 2.4.3648-20 «Санитарно-эпидемиологические требования к организациям воспитания и обучения, отдыха и оздоровления детей и молодежи», п. 3.1.3.</w:t>
        <w:br/>
        <w:br/>
      </w:r>
      <w:hyperlink r:id="rId31">
        <w:r>
          <w:rPr>
            <w:color w:val="173C49"/>
            <w:u w:val="single"/>
          </w:rPr>
          <w:t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  <w:r>
        <w:rPr>
          <w:b w:val="0"/>
          <w:i/>
        </w:rPr>
        <w:t xml:space="preserve"> </w:t>
      </w:r>
      <w:hyperlink r:id="rId36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Планировка помещений дошкольных организаций и организаций, осуществляющих присмотр и уход за детьми, за исключением помещений, размещенных в жилых помещениях, должна обеспечить возможность формирования изолированных помещений для каждой детской группы (далее - групповая ячейка) «…»</w:t>
        <w:br/>
        <w:br/>
        <w:t>СП 2.4.3648-20 «Санитарно-эпидемиологические требования к организациям воспитания и обучения, отдыха и оздоровления детей и молодежи», п. 3.1.3.</w:t>
        <w:br/>
        <w:br/>
      </w:r>
      <w:hyperlink r:id="rId31">
        <w:r>
          <w:rPr>
            <w:color w:val="173C49"/>
            <w:u w:val="single"/>
          </w:rPr>
          <w:t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  <w:r>
        <w:rPr>
          <w:b w:val="0"/>
          <w:i/>
        </w:rPr>
        <w:t xml:space="preserve"> </w:t>
      </w:r>
      <w:hyperlink r:id="rId37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При размещении дошкольной организации и организации, осуществляющей уход и присмотр за детьми в отдельно стоящем здании групповые ячейки для детей младенческого и раннего возраста должны иметь самостоятельный вход на игровую площадку.</w:t>
        <w:br/>
        <w:br/>
        <w:t>СП 2.4.3648-20 «Санитарно-эпидемиологические требования к организациям воспитания и обучения, отдыха и оздоровления детей и молодежи», п. 3.1.3.</w:t>
        <w:br/>
        <w:br/>
      </w:r>
      <w:hyperlink r:id="rId31">
        <w:r>
          <w:rPr>
            <w:color w:val="173C49"/>
            <w:u w:val="single"/>
          </w:rPr>
          <w:t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  <w:r>
        <w:rPr>
          <w:b w:val="0"/>
          <w:i/>
        </w:rPr>
        <w:t xml:space="preserve"> </w:t>
      </w:r>
      <w:hyperlink r:id="rId38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«…» для детей с нарушениями опорно-двигательного аппарата и зрения - на первом этаже. «…»</w:t>
        <w:br/>
        <w:br/>
        <w:t>СП 2.4.3648-20 «Санитарно-эпидемиологические требования к организациям воспитания и обучения, отдыха и оздоровления детей и молодежи», п. 3.1.3.</w:t>
        <w:br/>
        <w:br/>
      </w:r>
      <w:hyperlink r:id="rId31">
        <w:r>
          <w:rPr>
            <w:color w:val="173C49"/>
            <w:u w:val="single"/>
          </w:rPr>
          <w:t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  <w:r>
        <w:rPr>
          <w:b w:val="0"/>
          <w:i/>
        </w:rPr>
        <w:t xml:space="preserve"> </w:t>
      </w:r>
      <w:hyperlink r:id="rId36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К нарушениям санитарного законодательства относят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проведение занятий с использованием ЭСО с воспитанниками 6 лет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1" name="Picture 21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продолжительность непрерывной работы с персональным компьютером 20 минут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2" name="Picture 22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использование 6-летними воспитанниками ноутбука без дополнительной клавиатуры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3" name="Picture 2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проведение гимнастики для глаз только после окончания занятия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непрерывную продолжительность работы с интерактивной доской - 5 минут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4" name="Picture 24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проведение занятий с ЭСО для детей младше 5 лет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2 — продолжительность непрерывной работы с персональным компьютером 20 минут; 3 — использование 6-летними воспитанниками ноутбука без дополнительной клавиатуры; 4 — проведение гимнастики для глаз только после окончания занятия; 6 — проведение занятий с ЭСО для детей младше 5 лет</w:t>
      </w:r>
    </w:p>
    <w:p>
      <w:pPr>
        <w:ind w:left="504"/>
      </w:pPr>
      <w:r>
        <w:rPr>
          <w:b w:val="0"/>
          <w:i/>
        </w:rPr>
        <w:t>В соответствии с таблицей 6.8. части VI санитарных правил и норм СанПиН 1.2.3685-21 «Гигиенические нормативы и требования к обеспечению безопасности и (или) безвредности для человека факторов среды обитания» продолжительность работы с персональным компьютером на занятии для детей 6-7 лет не более 15 мин.</w:t>
        <w:br/>
        <w:br/>
        <w:t>СанПиН 1.2.3685-21 «Гигиенические нормативы и требования к обеспечению безопасности и (или) безвредности для человека факторов среды обитания», табл. 6.8, ч. VI</w:t>
        <w:br/>
        <w:br/>
      </w:r>
      <w:hyperlink r:id="rId39">
        <w:r>
          <w:rPr>
            <w:color w:val="173C49"/>
            <w:u w:val="single"/>
          </w:rPr>
          <w:t>Постановление Главного государственного санитарного врача РФ от 28 января 2021 г. N 2 "Об утверждении санитарных правил и норм СанПиН 1.2.3685-21 "Гигиенические нормативы и требования к обеспечению безопасности и (или) безвредности для человека факторов среды обитания" (с изменениями и дополнениями)</w:t>
        </w:r>
      </w:hyperlink>
      <w:r>
        <w:rPr>
          <w:b w:val="0"/>
          <w:i/>
        </w:rPr>
        <w:t xml:space="preserve"> </w:t>
      </w:r>
      <w:hyperlink r:id="rId40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При использовании ЭСО с демонстрацией обучающих фильмов, программ или иной информации, предусматривающих ее фиксацию в тетрадях воспитанниками и обучающимися, продолжительность непрерывного использования экрана не должна превышать для детей 5-7 лет - 5-7 минут.</w:t>
        <w:br/>
        <w:br/>
        <w:t>СП 2.4.3648-20 «Санитарно-эпидемиологические требования к организациям воспитания и обучения, отдыха и оздоровления детей и молодежи», п. 2.10.2</w:t>
        <w:br/>
        <w:br/>
      </w:r>
      <w:hyperlink r:id="rId31">
        <w:r>
          <w:rPr>
            <w:color w:val="173C49"/>
            <w:u w:val="single"/>
          </w:rPr>
          <w:t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  <w:r>
        <w:rPr>
          <w:b w:val="0"/>
          <w:i/>
        </w:rPr>
        <w:t xml:space="preserve"> </w:t>
      </w:r>
      <w:hyperlink r:id="rId41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В соответствии с п.189 части VI санитарных правил и норм СанПиН 1.2.3685-21 «Гигиенические нормативы и требования к обеспечению безопасности и (или) безвредности для человека факторов среды обитания» для детей 6-7 лет «…» использование ноутбуков возможно при наличии дополнительной клавиатуры.</w:t>
        <w:br/>
        <w:br/>
        <w:t>СанПиН 1.2.3685-21 «Гигиенические нормативы и требования к обеспечению безопасности и (или) безвредности для человека факторов среды обитания», п.189, ч. VI</w:t>
        <w:br/>
        <w:br/>
      </w:r>
      <w:hyperlink r:id="rId39">
        <w:r>
          <w:rPr>
            <w:color w:val="173C49"/>
            <w:u w:val="single"/>
          </w:rPr>
          <w:t>Постановление Главного государственного санитарного врача РФ от 28 января 2021 г. N 2 "Об утверждении санитарных правил и норм СанПиН 1.2.3685-21 "Гигиенические нормативы и требования к обеспечению безопасности и (или) безвредности для человека факторов среды обитания" (с изменениями и дополнениями)</w:t>
        </w:r>
      </w:hyperlink>
      <w:r>
        <w:rPr>
          <w:b w:val="0"/>
          <w:i/>
        </w:rPr>
        <w:t xml:space="preserve"> </w:t>
      </w:r>
      <w:hyperlink r:id="rId42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При использовании ЭСО во время занятий и перемен должна проводиться гимнастика для глаз</w:t>
        <w:br/>
        <w:br/>
        <w:t>СП 2.4.3648-20 «Санитарно-эпидемиологические требования к организациям воспитания и обучения, отдыха и оздоровления детей и молодежи», п. 2.10.2</w:t>
        <w:br/>
        <w:br/>
      </w:r>
      <w:hyperlink r:id="rId31">
        <w:r>
          <w:rPr>
            <w:color w:val="173C49"/>
            <w:u w:val="single"/>
          </w:rPr>
          <w:t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  <w:r>
        <w:rPr>
          <w:b w:val="0"/>
          <w:i/>
        </w:rPr>
        <w:t xml:space="preserve"> </w:t>
      </w:r>
      <w:hyperlink r:id="rId43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Занятия с использованием ЭСО в возрастных группах до 5 лет не проводятся.</w:t>
        <w:br/>
        <w:br/>
        <w:t>СП 2.4.3648-20 «Санитарно-эпидемиологические требования к организациям воспитания и обучения, отдыха и оздоровления детей и молодежи», п. 2.10.2.</w:t>
        <w:br/>
        <w:br/>
      </w:r>
      <w:hyperlink r:id="rId31">
        <w:r>
          <w:rPr>
            <w:color w:val="173C49"/>
            <w:u w:val="single"/>
          </w:rPr>
          <w:t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  <w:r>
        <w:rPr>
          <w:b w:val="0"/>
          <w:i/>
        </w:rPr>
        <w:t xml:space="preserve"> </w:t>
      </w:r>
      <w:hyperlink r:id="rId44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К нарушениям санитарного законодательства относят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5" name="Picture 2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отсутствие документов об оценке (подтверждении) соответствия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наличие поверхности с вентиляционными отверстиями игрушки «Домик»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6" name="Picture 2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острые кромки и зазоры в деталях пластикового конструктора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7" name="Picture 2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наличие твердых инородных предметов в наполнителе мягконабивной игрушки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8" name="Picture 28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нарушение целостности швов мягконабивных игрушек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9" name="Picture 29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несоблюдение требований, касающихся мытья игрушек в конце рабочего дня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1 — отсутствие документов об оценке (подтверждении) соответствия; 3 — острые кромки и зазоры в деталях пластикового конструктора; 4 — наличие твердых инородных предметов в наполнителе мягконабивной игрушки; 5 — нарушение целостности швов мягконабивных игрушек; 6 — несоблюдение требований, касающихся мытья игрушек в конце рабочего дня</w:t>
      </w:r>
    </w:p>
    <w:p>
      <w:pPr>
        <w:ind w:left="504"/>
      </w:pPr>
      <w:r>
        <w:rPr>
          <w:b w:val="0"/>
          <w:i/>
        </w:rPr>
        <w:t>Вновь приобретаемое оборудование, игры и игрушки для детей должны иметь документы об оценке (подтверждении) соответствия.</w:t>
        <w:br/>
        <w:br/>
        <w:t>СП 2.4.3648-20 «Санитарно-эпидемиологические требования к организациям воспитания и обучения, отдыха и оздоровления детей и молодежи», п. 3.2.3.</w:t>
        <w:br/>
        <w:br/>
      </w:r>
      <w:hyperlink r:id="rId31">
        <w:r>
          <w:rPr>
            <w:color w:val="173C49"/>
            <w:u w:val="single"/>
          </w:rPr>
          <w:t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  <w:r>
        <w:rPr>
          <w:b w:val="0"/>
          <w:i/>
        </w:rPr>
        <w:t xml:space="preserve"> </w:t>
      </w:r>
      <w:hyperlink r:id="rId45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Доступные кромки, острые концы, жесткие детали, пружины, крепежные детали, зазоры, углы, выступы, шнуры, канаты и крепления игрушек должны исключать риск травмирования ребенка.</w:t>
        <w:br/>
        <w:br/>
        <w:t>ТР ТС 008/2011 «О безопасности игрушек», п. 3.2, ст.4.</w:t>
        <w:br/>
        <w:br/>
      </w:r>
      <w:hyperlink r:id="rId46">
        <w:r>
          <w:rPr>
            <w:color w:val="173C49"/>
            <w:u w:val="single"/>
          </w:rPr>
          <w:t>Технический регламент Таможенного союза ТР ТС 008/2011 "О безопасности игрушек" (с изменениями на 17 марта 2017 года). Утвержден решением Комиссии Таможенного союза от 23 сентября 2011 года N 798</w:t>
        </w:r>
      </w:hyperlink>
      <w:r>
        <w:rPr>
          <w:b w:val="0"/>
          <w:i/>
        </w:rPr>
        <w:t xml:space="preserve"> </w:t>
      </w:r>
      <w:hyperlink r:id="rId47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Мягконабивная игрушка не должна содержать в наполнителе твердых или острых инородных предметов.</w:t>
        <w:br/>
        <w:br/>
        <w:t>ТР ТС 008/2011 «О безопасности игрушек», п. 3.2, ст.4.</w:t>
        <w:br/>
        <w:br/>
      </w:r>
      <w:hyperlink r:id="rId46">
        <w:r>
          <w:rPr>
            <w:color w:val="173C49"/>
            <w:u w:val="single"/>
          </w:rPr>
          <w:t>Технический регламент Таможенного союза ТР ТС 008/2011 "О безопасности игрушек" (с изменениями на 17 марта 2017 года). Утвержден решением Комиссии Таможенного союза от 23 сентября 2011 года N 798</w:t>
        </w:r>
      </w:hyperlink>
      <w:r>
        <w:rPr>
          <w:b w:val="0"/>
          <w:i/>
        </w:rPr>
        <w:t xml:space="preserve"> </w:t>
      </w:r>
      <w:hyperlink r:id="rId48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Швы мягконабивной игрушки должны быть прочными.</w:t>
        <w:br/>
        <w:br/>
        <w:t>ТР ТС 008/2011 «О безопасности игрушек», п. 3.2, ст.4.</w:t>
        <w:br/>
        <w:br/>
      </w:r>
      <w:hyperlink r:id="rId46">
        <w:r>
          <w:rPr>
            <w:color w:val="173C49"/>
            <w:u w:val="single"/>
          </w:rPr>
          <w:t>Технический регламент Таможенного союза ТР ТС 008/2011 "О безопасности игрушек" (с изменениями на 17 марта 2017 года). Утвержден решением Комиссии Таможенного союза от 23 сентября 2011 года N 798</w:t>
        </w:r>
      </w:hyperlink>
      <w:r>
        <w:rPr>
          <w:b w:val="0"/>
          <w:i/>
        </w:rPr>
        <w:t xml:space="preserve"> </w:t>
      </w:r>
      <w:hyperlink r:id="rId48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Используемое игровое оборудование должно соответствовать обязательным требованиям, установленным техническими регламентами предусматривать возможность его мытья с применением моющих и дезинфицирующих средств. Мытье игрушек и игрового оборудования проводится в конце рабочего дня и по мере необходимости.</w:t>
        <w:br/>
        <w:br/>
        <w:t>СП 2.4.3648-20 «Санитарно-эпидемиологические требования к организациям воспитания и обучения, отдыха и оздоровления детей и молодежи», п. 3.3.2.</w:t>
        <w:br/>
        <w:br/>
      </w:r>
      <w:hyperlink r:id="rId31">
        <w:r>
          <w:rPr>
            <w:color w:val="173C49"/>
            <w:u w:val="single"/>
          </w:rPr>
          <w:t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  <w:r>
        <w:rPr>
          <w:b w:val="0"/>
          <w:i/>
        </w:rPr>
        <w:t xml:space="preserve"> </w:t>
      </w:r>
      <w:hyperlink r:id="rId49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К нарушениям санитарного законодательства относят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отсутствие естественного освещения в помещениях для хранения и обработки уборочного инвентаря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0" name="Picture 3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зашторивание окон в спальных помещениях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1" name="Picture 31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уменьшение светоактивной площади окон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отсутствие естественного освещения в душевых и туалетах для персонала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2" name="Picture 32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загрязнение оконных стекол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3" name="Picture 33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нарушение целостности стекла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2 — зашторивание окон в спальных помещениях; 3 — уменьшение светоактивной площади окон; 5 — загрязнение оконных стекол; 6 — нарушение целостности стекла</w:t>
      </w:r>
    </w:p>
    <w:p>
      <w:pPr>
        <w:ind w:left="504"/>
      </w:pPr>
      <w:r>
        <w:rPr>
          <w:b w:val="0"/>
          <w:i/>
        </w:rPr>
        <w:t>Зашторивание окон в спальных помещениях проводится во время дневного и ночного сна, в остальное время шторы должны быть раздвинуты в целях обеспечения естественного освещения помещения.</w:t>
        <w:br/>
        <w:br/>
        <w:t>СП 2.4.3648-20 «Санитарно-эпидемиологические требования к организациям воспитания и обучения, отдыха и оздоровления детей и молодежи», п. 2.8.4.</w:t>
        <w:br/>
        <w:br/>
      </w:r>
      <w:hyperlink r:id="rId31">
        <w:r>
          <w:rPr>
            <w:color w:val="173C49"/>
            <w:u w:val="single"/>
          </w:rPr>
          <w:t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  <w:r>
        <w:rPr>
          <w:b w:val="0"/>
          <w:i/>
        </w:rPr>
        <w:t xml:space="preserve"> </w:t>
      </w:r>
      <w:hyperlink r:id="rId50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Конструкция регулируемых солнцезащитных устройств на окнах в исходном положении не должна уменьшать светоактивную площадь оконного проема.</w:t>
        <w:br/>
        <w:br/>
        <w:t>СП 2.4.3648-20 «Санитарно-эпидемиологические требования к организациям воспитания и обучения, отдыха и оздоровления детей и молодежи», п. 2.8.4.</w:t>
        <w:br/>
        <w:br/>
      </w:r>
      <w:hyperlink r:id="rId31">
        <w:r>
          <w:rPr>
            <w:color w:val="173C49"/>
            <w:u w:val="single"/>
          </w:rPr>
          <w:t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  <w:r>
        <w:rPr>
          <w:b w:val="0"/>
          <w:i/>
        </w:rPr>
        <w:t xml:space="preserve"> </w:t>
      </w:r>
      <w:hyperlink r:id="rId51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Чистка оконных стекол проводится по мере их загрязнения.</w:t>
        <w:br/>
        <w:br/>
        <w:t>СП 2.4.3648-20 «Санитарно-эпидемиологические требования к организациям воспитания и обучения, отдыха и оздоровления детей и молодежи», п. 2.8.3.</w:t>
        <w:br/>
        <w:br/>
      </w:r>
      <w:hyperlink r:id="rId31">
        <w:r>
          <w:rPr>
            <w:color w:val="173C49"/>
            <w:u w:val="single"/>
          </w:rPr>
          <w:t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  <w:r>
        <w:rPr>
          <w:b w:val="0"/>
          <w:i/>
        </w:rPr>
        <w:t xml:space="preserve"> </w:t>
      </w:r>
      <w:hyperlink r:id="rId52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«…» Не допускается наличие трещин и иное нарушение целостности стекла.</w:t>
        <w:br/>
        <w:br/>
        <w:t>СП 2.4.3648-20 «Санитарно-эпидемиологические требования к организациям воспитания и обучения, отдыха и оздоровления детей и молодежи», п. 2.8.3.</w:t>
        <w:br/>
        <w:br/>
      </w:r>
      <w:hyperlink r:id="rId31">
        <w:r>
          <w:rPr>
            <w:color w:val="173C49"/>
            <w:u w:val="single"/>
          </w:rPr>
          <w:t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  <w:r>
        <w:rPr>
          <w:b w:val="0"/>
          <w:i/>
        </w:rPr>
        <w:t xml:space="preserve"> </w:t>
      </w:r>
      <w:hyperlink r:id="rId52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Контроль за образовательной деятельностью в дошкольной образовательной организации предусматривает оценку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4" name="Picture 3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продолжительности занятий для детей дошкольного возраста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содержания занятия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5" name="Picture 3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продолжительности дневной суммарной образовательной нагрузки для детей дошкольного возраста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6" name="Picture 3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продолжительности использования интерактивной панели для детей 5-7 лет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7" name="Picture 37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наличия физкультурных минуток во время занятия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8" name="Picture 38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продолжительности использования персонального компьютера для детей 6-7 лет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1 — продолжительности занятий для детей дошкольного возраста; 3 — продолжительности дневной суммарной образовательной нагрузки для детей дошкольного возраста; 4 — продолжительности использования интерактивной панели для детей 5-7 лет; 5 — наличия физкультурных минуток во время занятия; 6 — продолжительности использования персонального компьютера для детей 6-7 лет</w:t>
      </w:r>
    </w:p>
    <w:p>
      <w:pPr>
        <w:ind w:left="504"/>
      </w:pPr>
      <w:r>
        <w:rPr>
          <w:b w:val="0"/>
          <w:i/>
        </w:rPr>
        <w:t>Контроль за образовательной деятельностью в дошкольной образовательной организации предусматривает оценку продолжительности занятий для детей дошкольного возраста.</w:t>
        <w:br/>
        <w:br/>
        <w:t>СанПиН 1.2.3685-21 «Гигиенические нормативы и требования к обеспечению безопасности и (или) безвредности для человека факторов среды обитания», табл. 6.6, ч. VI</w:t>
        <w:br/>
        <w:br/>
      </w:r>
      <w:hyperlink r:id="rId39">
        <w:r>
          <w:rPr>
            <w:color w:val="173C49"/>
            <w:u w:val="single"/>
          </w:rPr>
          <w:t>Постановление Главного государственного санитарного врача РФ от 28 января 2021 г. N 2 "Об утверждении санитарных правил и норм СанПиН 1.2.3685-21 "Гигиенические нормативы и требования к обеспечению безопасности и (или) безвредности для человека факторов среды обитания" (с изменениями и дополнениями)</w:t>
        </w:r>
      </w:hyperlink>
      <w:r>
        <w:rPr>
          <w:b w:val="0"/>
          <w:i/>
        </w:rPr>
        <w:t xml:space="preserve"> </w:t>
      </w:r>
      <w:hyperlink r:id="rId53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Контроль за образовательной деятельностью в дошкольной образовательной организации предусматривает оценку продолжительности дневной суммарной образовательной нагрузки для детей дошкольного возраста.</w:t>
        <w:br/>
        <w:br/>
        <w:t>СанПиН 1.2.3685-21 «Гигиенические нормативы и требования к обеспечению безопасности и (или) безвредности для человека факторов среды обитания», табл. 6.6, ч. VI</w:t>
        <w:br/>
        <w:br/>
      </w:r>
      <w:hyperlink r:id="rId39">
        <w:r>
          <w:rPr>
            <w:color w:val="173C49"/>
            <w:u w:val="single"/>
          </w:rPr>
          <w:t>Постановление Главного государственного санитарного врача РФ от 28 января 2021 г. N 2 "Об утверждении санитарных правил и норм СанПиН 1.2.3685-21 "Гигиенические нормативы и требования к обеспечению безопасности и (или) безвредности для человека факторов среды обитания" (с изменениями и дополнениями)</w:t>
        </w:r>
      </w:hyperlink>
      <w:r>
        <w:rPr>
          <w:b w:val="0"/>
          <w:i/>
        </w:rPr>
        <w:t xml:space="preserve"> </w:t>
      </w:r>
      <w:hyperlink r:id="rId53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Контроль за образовательной деятельностью в дошкольной образовательной организации предусматривает оценку продолжительности использования интерактивной панели для детей 5-7 лет.</w:t>
        <w:br/>
        <w:br/>
        <w:t>СанПиН 1.2.3685-21 «Гигиенические нормативы и требования к обеспечению безопасности и (или) безвредности для человека факторов среды обитания», табл. 6.8, ч. VI</w:t>
        <w:br/>
        <w:br/>
      </w:r>
      <w:hyperlink r:id="rId39">
        <w:r>
          <w:rPr>
            <w:color w:val="173C49"/>
            <w:u w:val="single"/>
          </w:rPr>
          <w:t>Постановление Главного государственного санитарного врача РФ от 28 января 2021 г. N 2 "Об утверждении санитарных правил и норм СанПиН 1.2.3685-21 "Гигиенические нормативы и требования к обеспечению безопасности и (или) безвредности для человека факторов среды обитания" (с изменениями и дополнениями)</w:t>
        </w:r>
      </w:hyperlink>
      <w:r>
        <w:rPr>
          <w:b w:val="0"/>
          <w:i/>
        </w:rPr>
        <w:t xml:space="preserve"> </w:t>
      </w:r>
      <w:hyperlink r:id="rId40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Для профилактики нарушений осанки во время занятий должны проводиться соответствующие физические упражнения (далее - физкультминутки).</w:t>
        <w:br/>
        <w:br/>
        <w:t>СП 2.4.3648-20 «Санитарно-эпидемиологические требования к организациям воспитания и обучения, отдыха и оздоровления детей и молодежи», п. 2.10.2.</w:t>
        <w:br/>
        <w:br/>
      </w:r>
      <w:hyperlink r:id="rId31">
        <w:r>
          <w:rPr>
            <w:color w:val="173C49"/>
            <w:u w:val="single"/>
          </w:rPr>
          <w:t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  <w:r>
        <w:rPr>
          <w:b w:val="0"/>
          <w:i/>
        </w:rPr>
        <w:t xml:space="preserve"> </w:t>
      </w:r>
      <w:hyperlink r:id="rId54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Контроль за образовательной деятельностью в дошкольной образовательной организации предусматривает оценку продолжительности использования персонального компьютера для детей 6-7 лет.</w:t>
        <w:br/>
        <w:br/>
        <w:t>СанПиН 1.2.3685-21 «Гигиенические нормативы и требования к обеспечению безопасности и (или) безвредности для человека факторов среды обитания», табл. 6.8, ч. VI</w:t>
        <w:br/>
        <w:br/>
      </w:r>
      <w:hyperlink r:id="rId39">
        <w:r>
          <w:rPr>
            <w:color w:val="173C49"/>
            <w:u w:val="single"/>
          </w:rPr>
          <w:t>Постановление Главного государственного санитарного врача РФ от 28 января 2021 г. N 2 "Об утверждении санитарных правил и норм СанПиН 1.2.3685-21 "Гигиенические нормативы и требования к обеспечению безопасности и (или) безвредности для человека факторов среды обитания" (с изменениями и дополнениями)</w:t>
        </w:r>
      </w:hyperlink>
      <w:r>
        <w:rPr>
          <w:b w:val="0"/>
          <w:i/>
        </w:rPr>
        <w:t xml:space="preserve"> </w:t>
      </w:r>
      <w:hyperlink r:id="rId40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К требованиям санитарных правил при устройстве туалетных комнат дошкольной образовательной организации относят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9" name="Picture 39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наличие стеллажа с ячейками для хранения индивидуальных горшков для детей раннего возраста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0" name="Picture 4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обеспечение каждого ребенка индивидуальным сидением для унитаза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1" name="Picture 41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выделение в туалетной комнате умывальной зоны и зоны санитарных узлов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2" name="Picture 42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наличие детской ванны для детей ясельного возраста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установление вешалок для детских полотенец в зоне санитарных узлов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3" name="Picture 43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оборудование отдельных туалетных комнат для мальчиков и девочек старших и подготовительных групп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1 — наличие стеллажа с ячейками для хранения индивидуальных горшков для детей раннего возраста; 2 — обеспечение каждого ребенка индивидуальным сидением для унитаза; 3 — выделение в туалетной комнате умывальной зоны и зоны санитарных узлов; 4 — наличие детской ванны для детей ясельного возраста; 6 — оборудование отдельных туалетных комнат для мальчиков и девочек старших и подготовительных групп</w:t>
      </w:r>
    </w:p>
    <w:p>
      <w:pPr>
        <w:ind w:left="504"/>
      </w:pPr>
      <w:r>
        <w:rPr>
          <w:b w:val="0"/>
          <w:i/>
        </w:rPr>
        <w:t>Туалеты для детей раннего возраста оборудуются в одном помещении. В нем устанавливаются умывальные раковины для детей, раковина и унитаз (в отдельной кабине) для персонала, шкаф (стеллаж) с ячейками для хранения индивидуальных горшков «…»</w:t>
        <w:br/>
        <w:br/>
        <w:t>СП 2.4.3648-20 «Санитарно-эпидемиологические требования к организациям воспитания и обучения, отдыха и оздоровления детей и молодежи», п. 3.1.7.</w:t>
        <w:br/>
        <w:br/>
      </w:r>
      <w:hyperlink r:id="rId31">
        <w:r>
          <w:rPr>
            <w:color w:val="173C49"/>
            <w:u w:val="single"/>
          </w:rPr>
          <w:t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  <w:r>
        <w:rPr>
          <w:b w:val="0"/>
          <w:i/>
        </w:rPr>
        <w:t xml:space="preserve"> </w:t>
      </w:r>
      <w:hyperlink r:id="rId55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«…» В зоне санитарных узлов размещаются унитазы, которые обеспечиваются индивидуальными сидениями для каждого ребенка «…»</w:t>
        <w:br/>
        <w:br/>
        <w:t>СП 2.4.3648-20 «Санитарно-эпидемиологические требования к организациям воспитания и обучения, отдыха и оздоровления детей и молодежи», п. 3.1.7.</w:t>
        <w:br/>
        <w:br/>
      </w:r>
      <w:hyperlink r:id="rId31">
        <w:r>
          <w:rPr>
            <w:color w:val="173C49"/>
            <w:u w:val="single"/>
          </w:rPr>
          <w:t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  <w:r>
        <w:rPr>
          <w:b w:val="0"/>
          <w:i/>
        </w:rPr>
        <w:t xml:space="preserve"> </w:t>
      </w:r>
      <w:hyperlink r:id="rId56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Туалеты дошкольной организации, организации, осуществляющей присмотр и уход за детьми, делятся на умывальную зону и зону санитарных узлов «…»</w:t>
        <w:br/>
        <w:br/>
        <w:t>СП 2.4.3648-20 «Санитарно-эпидемиологические требования к организациям воспитания и обучения, отдыха и оздоровления детей и молодежи», п. 3.1.7.</w:t>
        <w:br/>
        <w:br/>
      </w:r>
      <w:hyperlink r:id="rId31">
        <w:r>
          <w:rPr>
            <w:color w:val="173C49"/>
            <w:u w:val="single"/>
          </w:rPr>
          <w:t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  <w:r>
        <w:rPr>
          <w:b w:val="0"/>
          <w:i/>
        </w:rPr>
        <w:t xml:space="preserve"> </w:t>
      </w:r>
      <w:hyperlink r:id="rId56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Туалеты для детей раннего возраста оборудуются в одном помещении. В нем устанавливаются «…» детская ванна (для детей ясельного возраста) или душевой поддон «…»</w:t>
        <w:br/>
        <w:br/>
        <w:t>СП 2.4.3648-20 «Санитарно-эпидемиологические требования к организациям воспитания и обучения, отдыха и оздоровления детей и молодежи», п. 3.1.7.</w:t>
        <w:br/>
        <w:br/>
      </w:r>
      <w:hyperlink r:id="rId31">
        <w:r>
          <w:rPr>
            <w:color w:val="173C49"/>
            <w:u w:val="single"/>
          </w:rPr>
          <w:t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  <w:r>
        <w:rPr>
          <w:b w:val="0"/>
          <w:i/>
        </w:rPr>
        <w:t xml:space="preserve"> </w:t>
      </w:r>
      <w:hyperlink r:id="rId55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В старших и подготовительных группах туалетные комнаты (отдельные кабинки) оборудуются отдельно для мальчиков и девочек.</w:t>
        <w:br/>
        <w:br/>
        <w:t>СП 2.4.3648-20 «Санитарно-эпидемиологические требования к организациям воспитания и обучения, отдыха и оздоровления детей и молодежи», п. 3.1.7.</w:t>
        <w:br/>
        <w:br/>
      </w:r>
      <w:hyperlink r:id="rId31">
        <w:r>
          <w:rPr>
            <w:color w:val="173C49"/>
            <w:u w:val="single"/>
          </w:rPr>
          <w:t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  <w:r>
        <w:rPr>
          <w:b w:val="0"/>
          <w:i/>
        </w:rPr>
        <w:t xml:space="preserve"> </w:t>
      </w:r>
      <w:hyperlink r:id="rId57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К критическим контрольным точкам, требующим проверки с позиций риска распространения инфекционных заболеваний, относят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4" name="Picture 4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ежедневное очищение ковровых покрытий с использованием пылесоса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5" name="Picture 4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маркировку уборочного инвентаря в зависимости от назначения помещений и видов работ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6" name="Picture 4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ежедневную влажную уборку помещений с применением моющих средств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7" name="Picture 4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ежедневную обработку дверных ручек, поручней, выключателей с использованием дезинфицирующих средств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8" name="Picture 48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проведение влажной уборки в групповых помещениях не реже 2 раз в день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6.</w:t>
      </w:r>
      <w:r>
        <w:tab/>
      </w:r>
      <w:r>
        <w:rPr>
          <w:b w:val="0"/>
          <w:i w:val="0"/>
        </w:rPr>
        <w:t>генеральную уборку всех помещений не реже одного раза в 2 месяца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1 — ежедневное очищение ковровых покрытий с использованием пылесоса; 2 — маркировку уборочного инвентаря в зависимости от назначения помещений и видов работ; 3 — ежедневную влажную уборку помещений с применением моющих средств; 4 — ежедневную обработку дверных ручек, поручней, выключателей с использованием дезинфицирующих средств; 5 — проведение влажной уборки в групповых помещениях не реже 2 раз в день</w:t>
      </w:r>
    </w:p>
    <w:p>
      <w:pPr>
        <w:ind w:left="504"/>
      </w:pPr>
      <w:r>
        <w:rPr>
          <w:b w:val="0"/>
          <w:i/>
        </w:rPr>
        <w:t>«…» Ковровые покрытия ежедневно очищаются с использованием пылесоса. «…»</w:t>
        <w:br/>
        <w:br/>
        <w:t>СП 2.4.3648-20 «Санитарно-эпидемиологические требования к организациям воспитания и обучения, отдыха и оздоровления детей и молодежи», п. 2.11.2</w:t>
        <w:br/>
        <w:br/>
      </w:r>
      <w:hyperlink r:id="rId31">
        <w:r>
          <w:rPr>
            <w:color w:val="173C49"/>
            <w:u w:val="single"/>
          </w:rPr>
          <w:t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  <w:r>
        <w:rPr>
          <w:b w:val="0"/>
          <w:i/>
        </w:rPr>
        <w:t xml:space="preserve"> </w:t>
      </w:r>
      <w:hyperlink r:id="rId58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Уборочный инвентарь маркируется в зависимости от назначения помещений и видов работ. Инвентарь для уборки туалетов должен иметь иную маркировку и храниться отдельно от другого инвентаря.</w:t>
        <w:br/>
        <w:br/>
        <w:t>СП 2.4.3648-20 «Санитарно-эпидемиологические требования к организациям воспитания и обучения, отдыха и оздоровления детей и молодежи», п. 2.11.3.</w:t>
        <w:br/>
        <w:br/>
      </w:r>
      <w:hyperlink r:id="rId31">
        <w:r>
          <w:rPr>
            <w:color w:val="173C49"/>
            <w:u w:val="single"/>
          </w:rPr>
          <w:t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  <w:r>
        <w:rPr>
          <w:b w:val="0"/>
          <w:i/>
        </w:rPr>
        <w:t xml:space="preserve"> </w:t>
      </w:r>
      <w:hyperlink r:id="rId59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Все помещения подлежат ежедневной влажной уборке с применением моющих средств.</w:t>
        <w:br/>
        <w:br/>
        <w:t>СП 2.4.3648-20 «Санитарно-эпидемиологические требования к организациям воспитания и обучения, отдыха и оздоровления детей и молодежи», п. 2.11.2.</w:t>
        <w:br/>
        <w:br/>
      </w:r>
      <w:hyperlink r:id="rId31">
        <w:r>
          <w:rPr>
            <w:color w:val="173C49"/>
            <w:u w:val="single"/>
          </w:rPr>
          <w:t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  <w:r>
        <w:rPr>
          <w:b w:val="0"/>
          <w:i/>
        </w:rPr>
        <w:t xml:space="preserve"> </w:t>
      </w:r>
      <w:hyperlink r:id="rId60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«…» Дверные ручки, поручни, выключатели ежедневно протираются с использованием дезинфицирующих средств. «…»</w:t>
        <w:br/>
        <w:br/>
        <w:t>СП 2.4.3648-20 «Санитарно-эпидемиологические требования к организациям воспитания и обучения, отдыха и оздоровления детей и молодежи», п. 2.11.4.</w:t>
        <w:br/>
        <w:br/>
      </w:r>
      <w:hyperlink r:id="rId31">
        <w:r>
          <w:rPr>
            <w:color w:val="173C49"/>
            <w:u w:val="single"/>
          </w:rPr>
          <w:t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  <w:r>
        <w:rPr>
          <w:b w:val="0"/>
          <w:i/>
        </w:rPr>
        <w:t xml:space="preserve"> </w:t>
      </w:r>
      <w:hyperlink r:id="rId61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Влажная уборка в спальнях проводится после ночного и дневного сна, в спортивных залах и групповых помещениях не реже 2 раз в день.</w:t>
        <w:br/>
        <w:br/>
        <w:t>СП 2.4.3648-20 «Санитарно-эпидемиологические требования к организациям воспитания и обучения, отдыха и оздоровления детей и молодежи», п. 2.11.2.</w:t>
        <w:br/>
        <w:br/>
      </w:r>
      <w:hyperlink r:id="rId31">
        <w:r>
          <w:rPr>
            <w:color w:val="173C49"/>
            <w:u w:val="single"/>
          </w:rPr>
          <w:t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  <w:r>
        <w:rPr>
          <w:b w:val="0"/>
          <w:i/>
        </w:rPr>
        <w:t xml:space="preserve"> </w:t>
      </w:r>
      <w:hyperlink r:id="rId62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К требованиям санитарного законодательства, обязательным для исполнения сотрудниками дошкольной образовательной организации относят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обязательное гигиеническое обучение и аттестацию персонала не реже 1 раза в 2 года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9" name="Picture 4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наличие личной медицинской книжки у работника дошкольной образовательной организации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0" name="Picture 5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вакцинацию каждого работника в соответствии с национальным календарем профилактических прививок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1" name="Picture 51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предварительный и периодические медицинские осмотры при поступлении на работу в установленном порядке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ежедневный осмотр после окончания работы персонала дошкольной образовательной организации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2" name="Picture 52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обязательную гигиеническую подготовку и аттестацию персонала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2 — наличие личной медицинской книжки у работника дошкольной образовательной организации; 3 — вакцинацию каждого работника в соответствии с национальным календарем профилактических прививок; 4 — предварительный и периодические медицинские осмотры при поступлении на работу в установленном порядке; 6 — обязательную гигиеническую подготовку и аттестацию персонала</w:t>
      </w:r>
    </w:p>
    <w:p>
      <w:pPr>
        <w:ind w:left="504"/>
      </w:pPr>
      <w:r>
        <w:rPr>
          <w:b w:val="0"/>
          <w:i/>
        </w:rPr>
        <w:t>Работники хозяйствующих субъектов должны соответствовать требованиям, «..» и иметь личную медицинскую книжку с результатами медицинских обследований и лабораторных исследований, сведениями о прививках, перенесенных инфекционных заболеваниях, о прохождении профессиональной гигиенической подготовки и аттестации с допуском к работе.</w:t>
        <w:br/>
        <w:br/>
        <w:t>СП 2.4.3648-20 «Санитарно-эпидемиологические требования к организациям воспитания и обучения, отдыха и оздоровления детей и молодежи», п. 1.5</w:t>
        <w:br/>
        <w:br/>
      </w:r>
      <w:hyperlink r:id="rId31">
        <w:r>
          <w:rPr>
            <w:color w:val="173C49"/>
            <w:u w:val="single"/>
          </w:rPr>
          <w:t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  <w:r>
        <w:rPr>
          <w:b w:val="0"/>
          <w:i/>
        </w:rPr>
        <w:t xml:space="preserve"> </w:t>
      </w:r>
      <w:hyperlink r:id="rId63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Работники хозяйствующих субъектов должны соответствовать требованиям, «…» иметь личную медицинскую книжку с результатами медицинских обследований и лабораторных исследований, сведениями о прививках, «…»</w:t>
        <w:br/>
        <w:br/>
        <w:t>СП 2.4.3648-20 «Санитарно-эпидемиологические требования к организациям воспитания и обучения, отдыха и оздоровления детей и молодежи», п. 1.5</w:t>
        <w:br/>
        <w:br/>
      </w:r>
      <w:hyperlink r:id="rId31">
        <w:r>
          <w:rPr>
            <w:color w:val="173C49"/>
            <w:u w:val="single"/>
          </w:rPr>
          <w:t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  <w:r>
        <w:rPr>
          <w:b w:val="0"/>
          <w:i/>
        </w:rPr>
        <w:t xml:space="preserve"> </w:t>
      </w:r>
      <w:hyperlink r:id="rId63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Работники хозяйствующих субъектов должны соответствовать требованиям, касающимся прохождения ими предварительных (при поступлении на работу) и периодических медицинских осмотров.</w:t>
        <w:br/>
        <w:br/>
        <w:t>СП 2.4.3648-20 «Санитарно-эпидемиологические требования к организациям воспитания и обучения, отдыха и оздоровления детей и молодежи», п. 1.5</w:t>
        <w:br/>
        <w:br/>
      </w:r>
      <w:hyperlink r:id="rId31">
        <w:r>
          <w:rPr>
            <w:color w:val="173C49"/>
            <w:u w:val="single"/>
          </w:rPr>
          <w:t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  <w:r>
        <w:rPr>
          <w:b w:val="0"/>
          <w:i/>
        </w:rPr>
        <w:t xml:space="preserve"> </w:t>
      </w:r>
      <w:hyperlink r:id="rId63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Работники хозяйствующих субъектов должны соответствовать требованиям, «..» и иметь личную медицинскую книжку с результатами медицинских обследований и лабораторных исследований, сведениями о прививках, перенесенных инфекционных заболеваниях, о прохождении профессиональной гигиенической подготовки и аттестации с допуском к работе.</w:t>
        <w:br/>
        <w:br/>
        <w:t>СП 2.4.3648-20 «Санитарно-эпидемиологические требования к организациям воспитания и обучения, отдыха и оздоровления детей и молодежи», п. 1.5</w:t>
        <w:br/>
        <w:br/>
      </w:r>
      <w:hyperlink r:id="rId31">
        <w:r>
          <w:rPr>
            <w:color w:val="173C49"/>
            <w:u w:val="single"/>
          </w:rPr>
          <w:t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  <w:r>
        <w:rPr>
          <w:b w:val="0"/>
          <w:i/>
        </w:rPr>
        <w:t xml:space="preserve"> </w:t>
      </w:r>
      <w:hyperlink r:id="rId63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2. Разработка мероприятий</w:t>
      </w:r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Порядок оформления проверочных листов предусматривает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3" name="Picture 5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заполнение проверочных листов инспектором в электронной форме посредством внесения ответов на контрольные вопросы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подписание проверочных листов контролируемым лицом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4" name="Picture 5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формирование проверочных листов надзорными органами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5" name="Picture 5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заверение заполненных проверочных листов усиленной квалифицированной электронной подписью инспектора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инициирование внеплановых надзорных мероприятий на основании сведений, представленных в проверочном листе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6" name="Picture 56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утверждение надзорными органами списка контрольных вопросов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1 — заполнение проверочных листов инспектором в электронной форме посредством внесения ответов на контрольные вопросы; 3 — формирование проверочных листов надзорными органами; 4 — заверение заполненных проверочных листов усиленной квалифицированной электронной подписью инспектора; 6 — утверждение надзорными органами списка контрольных вопросов</w:t>
      </w:r>
    </w:p>
    <w:p>
      <w:pPr>
        <w:ind w:left="504"/>
      </w:pPr>
      <w:r>
        <w:rPr>
          <w:b w:val="0"/>
          <w:i/>
        </w:rPr>
        <w:t>При проведении контрольных (надзорных) мероприятий проверочные листы, указанные в решении о проведении контрольного (надзорного) мероприятия, заполняются инспектором в электронной форме посредством внесения ответов на контрольные вопросы «…»</w:t>
        <w:br/>
        <w:br/>
        <w:t>Федерального закона № 248-ФЗ «О государственном контроле (надзоре) и муниципальном контроле в Российской Федерации» от 31.07.2020, п.4 ст. 53</w:t>
        <w:br/>
        <w:br/>
      </w:r>
      <w:hyperlink r:id="rId24">
        <w:r>
          <w:rPr>
            <w:color w:val="173C49"/>
            <w:u w:val="single"/>
          </w:rPr>
          <w:t>Федеральный закон 31 июля 2020 г. N 248-ФЗ "О государственном контроле (надзоре) и муниципальном контроле в Российской Федерации"</w:t>
        </w:r>
      </w:hyperlink>
      <w:r>
        <w:rPr>
          <w:b w:val="0"/>
          <w:i/>
        </w:rPr>
        <w:t xml:space="preserve"> </w:t>
      </w:r>
      <w:hyperlink r:id="rId64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В целях снижения рисков причинения вреда (ущерба) на объектах контроля и оптимизации проведения контрольных (надзорных) мероприятий контрольные (надзорные) органы формируют и утверждают проверочные листы (списки контрольных вопросов, ответы на которые свидетельствуют о соблюдении или несоблюдении контролируемым лицом обязательных требований).</w:t>
        <w:br/>
        <w:br/>
        <w:t>Федерального закона № 248-ФЗ «О государственном контроле (надзоре) и муниципальном контроле в Российской Федерации» от 31.07.2020, п.1 ст. 53</w:t>
        <w:br/>
        <w:br/>
      </w:r>
      <w:hyperlink r:id="rId24">
        <w:r>
          <w:rPr>
            <w:color w:val="173C49"/>
            <w:u w:val="single"/>
          </w:rPr>
          <w:t>Федеральный закон 31 июля 2020 г. N 248-ФЗ "О государственном контроле (надзоре) и муниципальном контроле в Российской Федерации"</w:t>
        </w:r>
      </w:hyperlink>
      <w:r>
        <w:rPr>
          <w:b w:val="0"/>
          <w:i/>
        </w:rPr>
        <w:t xml:space="preserve"> </w:t>
      </w:r>
      <w:hyperlink r:id="rId65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При проведении контрольных (надзорных) мероприятий проверочные листы, «…» заверяются усиленной квалифицированной электронной подписью инспектора.</w:t>
        <w:br/>
        <w:br/>
        <w:t>Федерального закона № 248-ФЗ «О государственном контроле (надзоре) и муниципальном контроле в Российской Федерации» от 31.07.2020, п.4 ст. 53</w:t>
        <w:br/>
        <w:br/>
      </w:r>
      <w:hyperlink r:id="rId24">
        <w:r>
          <w:rPr>
            <w:color w:val="173C49"/>
            <w:u w:val="single"/>
          </w:rPr>
          <w:t>Федеральный закон 31 июля 2020 г. N 248-ФЗ "О государственном контроле (надзоре) и муниципальном контроле в Российской Федерации"</w:t>
        </w:r>
      </w:hyperlink>
      <w:r>
        <w:rPr>
          <w:b w:val="0"/>
          <w:i/>
        </w:rPr>
        <w:t xml:space="preserve"> </w:t>
      </w:r>
      <w:hyperlink r:id="rId64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В целях снижения рисков причинения вреда (ущерба) на объектах контроля и оптимизации проведения контрольных (надзорных) мероприятий контрольные (надзорные) органы формируют и утверждают проверочные листы (списки контрольных вопросов, ответы на которые свидетельствуют о соблюдении или несоблюдении контролируемым лицом обязательных требований).</w:t>
        <w:br/>
        <w:br/>
        <w:t>Федерального закона № 248-ФЗ «О государственном контроле (надзоре) и муниципальном контроле в Российской Федерации» от 31.07.2020, п.1 ст. 53</w:t>
        <w:br/>
        <w:br/>
      </w:r>
      <w:hyperlink r:id="rId24">
        <w:r>
          <w:rPr>
            <w:color w:val="173C49"/>
            <w:u w:val="single"/>
          </w:rPr>
          <w:t>Федеральный закон 31 июля 2020 г. N 248-ФЗ "О государственном контроле (надзоре) и муниципальном контроле в Российской Федерации"</w:t>
        </w:r>
      </w:hyperlink>
      <w:r>
        <w:rPr>
          <w:b w:val="0"/>
          <w:i/>
        </w:rPr>
        <w:t xml:space="preserve"> </w:t>
      </w:r>
      <w:hyperlink r:id="rId65">
        <w:r>
          <w:rPr>
            <w:color w:val="173C49"/>
            <w:u w:val="single"/>
          </w:rPr>
          <w:t>(1)</w:t>
        </w:r>
      </w:hyperlink>
    </w:p>
    <w:p>
      <w:r>
        <w:br w:type="page"/>
      </w:r>
    </w:p>
    <w:p>
      <w:pPr>
        <w:pStyle w:val="Heading1"/>
      </w:pPr>
      <w:bookmarkStart w:id="1002" w:name="case_0002"/>
      <w:r>
        <w:t>Ситуационная задача 0002</w:t>
      </w:r>
      <w:bookmarkEnd w:id="1002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Гигиена детей и подростков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Провести оценку полученных данных при проведении планового контрольного (надзорного) мероприятия по обследованию загородной стационарной организации труда и отдыха детей.</w:t>
      </w:r>
    </w:p>
    <w:p>
      <w:pPr>
        <w:pStyle w:val="Heading2"/>
      </w:pPr>
      <w:r>
        <w:t>1. Оценка ситуации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К характеристикам показателя потенциального риска причинения вреда здоровью +(R)+ при осуществлении деятельности по организации труда и отдыха детей относят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значение R, составляющее 1х10-4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7" name="Picture 5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проведение плановых контрольных (надзорных) мероприятий – один раз перед началом каникул и далее один раз во время каникул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высокий риск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проведение плановых контрольных (надзорных) мероприятий более 2-х раз в год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8" name="Picture 58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чрезвычайно высокий риск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9" name="Picture 59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значение R &gt; 1х10-3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2 — проведение плановых контрольных (надзорных) мероприятий – один раз перед началом каникул и далее один раз во время каникул; 5 — чрезвычайно высокий риск; 6 — значение R &gt; 1х10-3</w:t>
      </w:r>
    </w:p>
    <w:p>
      <w:pPr>
        <w:ind w:left="504"/>
      </w:pPr>
      <w:r>
        <w:rPr>
          <w:b w:val="0"/>
          <w:i/>
        </w:rPr>
        <w:t>Плановые контрольные (надзорные) мероприятия в отношении следующих объектов контроля, отнесенных к категории чрезвычайно высокого риска, проводятся со следующей периодичностью: «…» в отношении деятельности детских лагерей на время каникул - один раз перед началом каникул и далее один раз во время каникул.</w:t>
        <w:br/>
        <w:br/>
        <w:t>Постановление Правительства РФ от 30 июня 2021 г. № 1100 «О федеральном государственном санитарно-эпидемиологическом контроле (надзоре)», п. 36 «б».</w:t>
        <w:br/>
        <w:br/>
      </w:r>
      <w:hyperlink r:id="rId66">
        <w:r>
          <w:rPr>
            <w:color w:val="173C49"/>
            <w:u w:val="single"/>
          </w:rPr>
          <w:t>Постановление Правительства Российской Федерации от 30 июня 2021 г. № 1100 "О федеральном государственном санитарно-эпидемиологическом контроле (надзоре)"</w:t>
        </w:r>
      </w:hyperlink>
      <w:r>
        <w:rPr>
          <w:b w:val="0"/>
          <w:i/>
        </w:rPr>
        <w:t xml:space="preserve"> </w:t>
      </w:r>
      <w:hyperlink r:id="rId67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Объекты контроля «…» относятся к следующим категориям риска в зависимости от показателя потенциального риска причинения вреда здоровью «…»:</w:t>
        <w:br/>
        <w:br/>
        <w:t>в случае, если показатель потенциального риска причинения вреда здоровью составляет более 1х10-3- чрезвычайно высокий риск «…»</w:t>
        <w:br/>
        <w:br/>
        <w:t>Положение «О федеральном государственном санитарно-эпидемиологическом контроле (надзоре)» от 30 июня 2021 г. № 1100, п.1 Приложения №1</w:t>
        <w:br/>
        <w:br/>
      </w:r>
      <w:hyperlink r:id="rId66">
        <w:r>
          <w:rPr>
            <w:color w:val="173C49"/>
            <w:u w:val="single"/>
          </w:rPr>
          <w:t>Постановление Правительства Российской Федерации от 30 июня 2021 г. № 1100 "О федеральном государственном санитарно-эпидемиологическом контроле (надзоре)"</w:t>
        </w:r>
      </w:hyperlink>
      <w:r>
        <w:rPr>
          <w:b w:val="0"/>
          <w:i/>
        </w:rPr>
        <w:t xml:space="preserve"> </w:t>
      </w:r>
      <w:hyperlink r:id="rId68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Объекты контроля «…» относятся к следующим категориям риска в зависимости от показателя потенциального риска причинения вреда здоровью «…»:</w:t>
        <w:br/>
        <w:br/>
        <w:t>в случае, если показатель потенциального риска причинения вреда здоровью составляет более 1х10-3- чрезвычайно высокий риск «…»</w:t>
        <w:br/>
        <w:br/>
        <w:t>Положение «О федеральном государственном санитарно-эпидемиологическом контроле (надзоре)» от 30 июня 2021 г. № 1100, п.1 Приложения №1</w:t>
        <w:br/>
        <w:br/>
      </w:r>
      <w:hyperlink r:id="rId66">
        <w:r>
          <w:rPr>
            <w:color w:val="173C49"/>
            <w:u w:val="single"/>
          </w:rPr>
          <w:t>Постановление Правительства Российской Федерации от 30 июня 2021 г. № 1100 "О федеральном государственном санитарно-эпидемиологическом контроле (надзоре)"</w:t>
        </w:r>
      </w:hyperlink>
      <w:r>
        <w:rPr>
          <w:b w:val="0"/>
          <w:i/>
        </w:rPr>
        <w:t xml:space="preserve"> </w:t>
      </w:r>
      <w:hyperlink r:id="rId68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К подготовительной работе перед началом плановых контрольных (надзорных) мероприятий относят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0" name="Picture 60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отправку уведомления о начале контрольного (надзорного) мероприятия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отправку запроса о предоставлении документации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1" name="Picture 61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размещение информации о плане контрольных (надзорных) мероприятий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2" name="Picture 62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согласование плана контрольных (надзорных) мероприятий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3" name="Picture 63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планирование контрольных (надзорных) мероприятий в соответствии с риск-ориентированным подходом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4" name="Picture 64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принятие решения о проведении контрольного (надзорного) мероприятия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1 — отправку уведомления о начале контрольного (надзорного) мероприятия; 3 — размещение информации о плане контрольных (надзорных) мероприятий; 4 — согласование плана контрольных (надзорных) мероприятий; 5 — планирование контрольных (надзорных) мероприятий в соответствии с риск-ориентированным подходом; 6 — принятие решения о проведении контрольного (надзорного) мероприятия</w:t>
      </w:r>
    </w:p>
    <w:p>
      <w:pPr>
        <w:ind w:left="504"/>
      </w:pPr>
      <w:r>
        <w:rPr>
          <w:b w:val="0"/>
          <w:i/>
        </w:rPr>
        <w:t>Информирование контролируемых лиц о совершаемых должностными лицами контрольного (надзорного) органа и иными уполномоченными лицами действиях и принимаемых решениях осуществляется в сроки и порядке, установленные настоящим Федеральным законом, путем размещения сведений об указанных действиях и решениях в едином реестре контрольных (надзорных) мероприятий, а также доведения их до контролируемых лиц посредством инфраструктуры,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и исполнения государственных и муниципальных функций в электронной форме, в том числе через федеральную государственную информационную систему "Единый портал государственных и муниципальных услуг (функций)" (далее - единый портал государственных и муниципальных услуг) и (или) через региональный портал государственных и муниципальных услуг.</w:t>
        <w:br/>
        <w:br/>
        <w:t>Федерального закона «О государственном контроле (надзоре) и муниципальном контроле в Российской Федерации» от 31.07.2020 №248-ФЗ, п.4, ст. 21</w:t>
        <w:br/>
        <w:br/>
      </w:r>
      <w:hyperlink r:id="rId24">
        <w:r>
          <w:rPr>
            <w:color w:val="173C49"/>
            <w:u w:val="single"/>
          </w:rPr>
          <w:t>Федеральный закон 31 июля 2020 г. N 248-ФЗ "О государственном контроле (надзоре) и муниципальном контроле в Российской Федерации"</w:t>
        </w:r>
      </w:hyperlink>
      <w:r>
        <w:rPr>
          <w:b w:val="0"/>
          <w:i/>
        </w:rPr>
        <w:t xml:space="preserve"> </w:t>
      </w:r>
      <w:hyperlink r:id="rId25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В целях информационного обеспечения государственного контроля (надзора), муниципального контроля создаются:</w:t>
        <w:br/>
        <w:br/>
        <w:t>1) единый реестр видов федерального государственного контроля (надзора), регионального государственного контроля (надзора), муниципального контроля (далее также - единый реестр видов контроля);</w:t>
        <w:br/>
        <w:br/>
        <w:t>2) единый реестр контрольных (надзорных) мероприятий «…»</w:t>
        <w:br/>
        <w:br/>
        <w:t>Проведение контрольных (надзорных) мероприятий, информация о которых на момент начала их проведения в едином реестре контрольных (надзорных) мероприятий отсутствует, не допускается.</w:t>
        <w:br/>
        <w:br/>
        <w:t>Федерального закона «О государственном контроле (надзоре) и муниципальном контроле в Российской Федерации» от 31.07.2020 №248-ФЗ, п.1, ст. 17; п. 4, ст. 19</w:t>
        <w:br/>
        <w:br/>
      </w:r>
      <w:hyperlink r:id="rId24">
        <w:r>
          <w:rPr>
            <w:color w:val="173C49"/>
            <w:u w:val="single"/>
          </w:rPr>
          <w:t>Федеральный закон 31 июля 2020 г. N 248-ФЗ "О государственном контроле (надзоре) и муниципальном контроле в Российской Федерации"</w:t>
        </w:r>
      </w:hyperlink>
      <w:r>
        <w:rPr>
          <w:b w:val="0"/>
          <w:i/>
        </w:rPr>
        <w:t xml:space="preserve"> </w:t>
      </w:r>
      <w:hyperlink r:id="rId28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69">
        <w:r>
          <w:rPr>
            <w:color w:val="173C49"/>
            <w:u w:val="single"/>
          </w:rPr>
          <w:t>(2)</w:t>
        </w:r>
      </w:hyperlink>
    </w:p>
    <w:p>
      <w:pPr>
        <w:ind w:left="504"/>
      </w:pPr>
      <w:r>
        <w:rPr>
          <w:b w:val="0"/>
          <w:i/>
        </w:rPr>
        <w:t>Плановые контрольные (надзорные) мероприятия проводятся на основании плана проведения плановых контрольных (надзорных) мероприятий на очередной календарный год (далее - ежегодный план контрольных (надзорных) мероприятий), формируемого контрольным (надзорным) органом и подлежащего согласованию с органами прокуратуры.</w:t>
        <w:br/>
        <w:br/>
        <w:t>Федерального закона «О государственном контроле (надзоре) и муниципальном контроле в Российской Федерации» от 31.07.2020 №248-ФЗ, п.1, ст. 61</w:t>
        <w:br/>
        <w:br/>
      </w:r>
      <w:hyperlink r:id="rId24">
        <w:r>
          <w:rPr>
            <w:color w:val="173C49"/>
            <w:u w:val="single"/>
          </w:rPr>
          <w:t>Федеральный закон 31 июля 2020 г. N 248-ФЗ "О государственном контроле (надзоре) и муниципальном контроле в Российской Федерации"</w:t>
        </w:r>
      </w:hyperlink>
      <w:r>
        <w:rPr>
          <w:b w:val="0"/>
          <w:i/>
        </w:rPr>
        <w:t xml:space="preserve"> </w:t>
      </w:r>
      <w:hyperlink r:id="rId27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Государственный контроль (надзор), муниципальный контроль осуществляются на основе управления рисками причинения вреда (ущерба), определяющего выбор профилактических мероприятий и контрольных (надзорных) мероприятий, их содержание (в том числе объем проверяемых обязательных требований), интенсивность и результаты.</w:t>
        <w:br/>
        <w:br/>
        <w:t>Федерального закона «О государственном контроле (надзоре) и муниципальном контроле в Российской Федерации» от 31.07.2020 №248-ФЗ, п.1, ст. 22</w:t>
        <w:br/>
        <w:br/>
      </w:r>
      <w:hyperlink r:id="rId24">
        <w:r>
          <w:rPr>
            <w:color w:val="173C49"/>
            <w:u w:val="single"/>
          </w:rPr>
          <w:t>Федеральный закон 31 июля 2020 г. N 248-ФЗ "О государственном контроле (надзоре) и муниципальном контроле в Российской Федерации"</w:t>
        </w:r>
      </w:hyperlink>
      <w:r>
        <w:rPr>
          <w:b w:val="0"/>
          <w:i/>
        </w:rPr>
        <w:t xml:space="preserve"> </w:t>
      </w:r>
      <w:hyperlink r:id="rId30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Для проведения контрольного (надзорного) мероприятия принимается решение контрольного (надзорного) органа, подписанное уполномоченным должностным лицом контрольного (надзорного) органа (далее - решение о проведении контрольного (надзорного) мероприятия, предусматривающего взаимодействие с контролируемым лицом, а также документарной проверки) «..»</w:t>
        <w:br/>
        <w:br/>
        <w:t>Федерального закона «О государственном контроле (надзоре) и муниципальном контроле в Российской Федерации» от 31.07.2020 №248-ФЗ, п.1, ст. 64</w:t>
        <w:br/>
        <w:br/>
      </w:r>
      <w:hyperlink r:id="rId24">
        <w:r>
          <w:rPr>
            <w:color w:val="173C49"/>
            <w:u w:val="single"/>
          </w:rPr>
          <w:t>Федеральный закон 31 июля 2020 г. N 248-ФЗ "О государственном контроле (надзоре) и муниципальном контроле в Российской Федерации"</w:t>
        </w:r>
      </w:hyperlink>
      <w:r>
        <w:rPr>
          <w:b w:val="0"/>
          <w:i/>
        </w:rPr>
        <w:t xml:space="preserve"> </w:t>
      </w:r>
      <w:hyperlink r:id="rId26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К основным законодательным и нормативным документам, используемым в ходе осуществления контрольного (надзорного) мероприятия в организации труда и отдыха детей, относят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ТР ТС 025/2012 «О безопасности мебельной продукции»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5" name="Picture 6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Санитарные правила и нормы СанПиН 1.2.3685-21 «Гигиенические нормативы и требования к обеспечению безопасности и (или) безвредности для человека факторов среды обитания»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6" name="Picture 6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Федеральный закон «О санитарно-эпидемиологическом благополучии населения» от 30.03.1999 № 52-ФЗ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7" name="Picture 6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СП 2.4.3648-20 «Санитарно-эпидемиологические требования к организациям воспитания и обучения, отдыха и оздоровления детей и молодежи»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8" name="Picture 68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Постановление Правительства РФ от 30 июня 2021 г. № 1100 «О федеральном государственном санитарно-эпидемиологическом контроле (надзоре)»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9" name="Picture 69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Федеральный закон «О государственном контроле (надзоре) и муниципальном контроле в Российской Федерации» от 31.07.2020 № 248-ФЗ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2 — Санитарные правила и нормы СанПиН 1.2.3685-21 «Гигиенические нормативы и требования к обеспечению безопасности и (или) безвредности для человека факторов среды обитания»; 3 — Федеральный закон «О санитарно-эпидемиологическом благополучии населения» от 30.03.1999 № 52-ФЗ; 4 — СП 2.4.3648-20 «Санитарно-эпидемиологические требования к организациям воспитания и обучения, отдыха и оздоровления детей и молодежи»; 5 — Постановление Правительства РФ от 30 июня 2021 г. № 1100 «О федеральном государственном санитарно-эпидемиологическом контроле (надзоре)»; 6 — Федеральный закон «О государственном контроле (надзоре) и муниципальном контроле в Российской Федерации» от 31.07.2020 № 248-ФЗ</w:t>
      </w:r>
    </w:p>
    <w:p>
      <w:pPr>
        <w:ind w:left="504"/>
      </w:pPr>
      <w:r>
        <w:rPr>
          <w:b w:val="0"/>
          <w:i/>
        </w:rPr>
        <w:t>В соответствии с главой VI «Гигиенические нормативы по устройству, содержанию и режиму работы организаций воспитания и обучения, отдыха и оздоровления детей и молодежи» СанПиН 1.2.3685-21 «Гигиенические нормативы и требования к обеспечению безопасности и (или) безвредности для человека факторов среды обитания», стр.369-397</w:t>
        <w:br/>
        <w:br/>
        <w:t>СанПиН 1.2.3685-21 «Гигиенические нормативы и требования к обеспечению безопасности и (или) безвредности для человека факторов среды обитания», с.369-397</w:t>
        <w:br/>
        <w:br/>
      </w:r>
      <w:hyperlink r:id="rId39">
        <w:r>
          <w:rPr>
            <w:color w:val="173C49"/>
            <w:u w:val="single"/>
          </w:rPr>
          <w:t>Постановление Главного государственного санитарного врача РФ от 28 января 2021 г. N 2 "Об утверждении санитарных правил и норм СанПиН 1.2.3685-21 "Гигиенические нормативы и требования к обеспечению безопасности и (или) безвредности для человека факторов среды обитания" (с изменениями и дополнениями)</w:t>
        </w:r>
      </w:hyperlink>
      <w:r>
        <w:rPr>
          <w:b w:val="0"/>
          <w:i/>
        </w:rPr>
        <w:t xml:space="preserve"> </w:t>
      </w:r>
      <w:hyperlink r:id="rId70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Предметом государственного контроля (надзора) являются: «…»</w:t>
        <w:br/>
        <w:br/>
        <w:t>соблюдение иных обязательных требований в области санитарно-эпидемиологического благополучия населения, установленных Федеральным законом «О санитарно-эпидемиологическом благополучии населения» «…»</w:t>
        <w:br/>
        <w:br/>
        <w:t>Постановление Правительства РФ от 30 июня 2021 г. № 1100 «О федеральном государственном санитарно-эпидемиологическом контроле (надзоре)», п.3</w:t>
        <w:br/>
        <w:br/>
      </w:r>
      <w:hyperlink r:id="rId66">
        <w:r>
          <w:rPr>
            <w:color w:val="173C49"/>
            <w:u w:val="single"/>
          </w:rPr>
          <w:t>Постановление Правительства Российской Федерации от 30 июня 2021 г. № 1100 "О федеральном государственном санитарно-эпидемиологическом контроле (надзоре)"</w:t>
        </w:r>
      </w:hyperlink>
      <w:r>
        <w:rPr>
          <w:b w:val="0"/>
          <w:i/>
        </w:rPr>
        <w:t xml:space="preserve"> </w:t>
      </w:r>
      <w:hyperlink r:id="rId71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Настоящие санитарные правила направлены на охрану здоровья детей и молодежи, предотвращение инфекционных, массовых неинфекционных заболеваний (отравлений) и устанавливают санитарно-эпидемиологические требования к обеспечению безопасных условий образовательной деятельности* *«…», включая требования к «…» отдыху и оздоровлению «…»</w:t>
        <w:br/>
        <w:br/>
        <w:t>СП 2.4.3648-20 «Санитарно-эпидемиологические требования к организациям воспитания и обучения, отдыха и оздоровления детей и молодежи», п.1.1.</w:t>
        <w:br/>
        <w:br/>
      </w:r>
      <w:hyperlink r:id="rId31">
        <w:r>
          <w:rPr>
            <w:color w:val="173C49"/>
            <w:u w:val="single"/>
          </w:rPr>
          <w:t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  <w:r>
        <w:rPr>
          <w:b w:val="0"/>
          <w:i/>
        </w:rPr>
        <w:t xml:space="preserve"> </w:t>
      </w:r>
      <w:hyperlink r:id="rId72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Настоящее Положение устанавливает порядок организации и осуществления федерального государственного санитарно-эпидемиологического контроля (надзора).</w:t>
        <w:br/>
        <w:br/>
        <w:t>Постановление Правительства РФ от 30 июня 2021 г. № 1100 «О федеральном государственном санитарно-эпидемиологическом контроле (надзоре)», п. 1</w:t>
        <w:br/>
        <w:br/>
      </w:r>
      <w:hyperlink r:id="rId66">
        <w:r>
          <w:rPr>
            <w:color w:val="173C49"/>
            <w:u w:val="single"/>
          </w:rPr>
          <w:t>Постановление Правительства Российской Федерации от 30 июня 2021 г. № 1100 "О федеральном государственном санитарно-эпидемиологическом контроле (надзоре)"</w:t>
        </w:r>
      </w:hyperlink>
      <w:r>
        <w:rPr>
          <w:b w:val="0"/>
          <w:i/>
        </w:rPr>
        <w:t xml:space="preserve"> </w:t>
      </w:r>
      <w:hyperlink r:id="rId73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Под государственным контролем (надзором), муниципальным контролем в Российской Федерации (далее - государственный контроль (надзор), муниципальный контроль) в целях настоящего Федерального закона понимается деятельность контрольных (надзорных) органов, направленная на предупреждение, выявление и пресечение нарушений обязательных требований, осуществляемая в пределах полномочий указанных органов посредством профилактики нарушений обязательных требований, оценки соблюдения гражданами и организациями обязательных требований, выявления их нарушений, принятия предусмотренных законодательством Российской Федерации мер по пресечению выявленных нарушений обязательных требований, устранению их последствий и (или) восстановлению правового положения, существовавшего до возникновения таких нарушений. Статья 1, п.1</w:t>
        <w:br/>
        <w:br/>
        <w:t>Федеральный закон «О государственном контроле (надзоре) и муниципальном контроле в Российской Федерации» от 31.07.2020 N 248-ФЗ, п.1, ст.1</w:t>
        <w:br/>
        <w:br/>
      </w:r>
      <w:hyperlink r:id="rId24">
        <w:r>
          <w:rPr>
            <w:color w:val="173C49"/>
            <w:u w:val="single"/>
          </w:rPr>
          <w:t>Федеральный закон 31 июля 2020 г. N 248-ФЗ "О государственном контроле (надзоре) и муниципальном контроле в Российской Федерации"</w:t>
        </w:r>
      </w:hyperlink>
      <w:r>
        <w:rPr>
          <w:b w:val="0"/>
          <w:i/>
        </w:rPr>
        <w:t xml:space="preserve"> </w:t>
      </w:r>
      <w:hyperlink r:id="rId74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К сведениям, предоставляемым администрацией организации труда и отдыха в территориальные органы государственного санитарно-эпидемиологического надзора не позднее, чем за месяц до открытия каждого сезона, относят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сроки проведения культурно-массовых мероприятий в течение смены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0" name="Picture 7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режим работы организации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1" name="Picture 71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планируемые сроки заездов детей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график проведения родительских дней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2" name="Picture 72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количество детей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3" name="Picture 73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сроки проведения противоклещевой обработки территории и мероприятий по борьбе с грызунами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2 — режим работы организации; 3 — планируемые сроки заездов детей; 5 — количество детей; 6 — сроки проведения противоклещевой обработки территории и мероприятий по борьбе с грызунами</w:t>
      </w:r>
    </w:p>
    <w:p>
      <w:pPr>
        <w:ind w:left="504"/>
      </w:pPr>
      <w:r>
        <w:rPr>
          <w:b w:val="0"/>
          <w:i/>
        </w:rPr>
        <w:t>Хозяйствующие субъекты в срок не позднее, чем за один месяц до открытия каждого сезона информируют территориальные органы, уполномоченные осуществлять федеральный государственный санитарно-эпидемиологический надзор и федеральный государственный надзор в области защиты прав потребителей о планируемых сроках заездов детей и режиме работы, а также количестве детей.</w:t>
        <w:br/>
        <w:br/>
        <w:t>СП 2.4.3648-20 «Санитарно-эпидемиологические требования к организациям воспитания и обучения, отдыха и оздоровления детей и молодежи», п. 3.12.1.</w:t>
        <w:br/>
        <w:br/>
      </w:r>
      <w:hyperlink r:id="rId31">
        <w:r>
          <w:rPr>
            <w:color w:val="173C49"/>
            <w:u w:val="single"/>
          </w:rPr>
          <w:t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  <w:r>
        <w:rPr>
          <w:b w:val="0"/>
          <w:i/>
        </w:rPr>
        <w:t xml:space="preserve"> </w:t>
      </w:r>
      <w:hyperlink r:id="rId75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Хозяйствующие субъекты в срок не позднее, чем за один месяц до открытия каждого сезона информируют территориальные органы, уполномоченные осуществлять федеральный государственный санитарно-эпидемиологический надзор и федеральный государственный надзор в области защиты прав потребителей о планируемых сроках заездов детей и режиме работы, а также количестве детей.</w:t>
        <w:br/>
        <w:br/>
        <w:t>СП 2.4.3648-20 «Санитарно-эпидемиологические требования к организациям воспитания и обучения, отдыха и оздоровления детей и молодежи», п. 3.12.1.</w:t>
        <w:br/>
        <w:br/>
      </w:r>
      <w:hyperlink r:id="rId31">
        <w:r>
          <w:rPr>
            <w:color w:val="173C49"/>
            <w:u w:val="single"/>
          </w:rPr>
          <w:t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  <w:r>
        <w:rPr>
          <w:b w:val="0"/>
          <w:i/>
        </w:rPr>
        <w:t xml:space="preserve"> </w:t>
      </w:r>
      <w:hyperlink r:id="rId75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Хозяйствующие субъекты в срок не позднее, чем за один месяц до открытия каждого сезона информируют территориальные органы, уполномоченные осуществлять федеральный государственный санитарно-эпидемиологический надзор и федеральный государственный надзор в области защиты прав потребителей о планируемых сроках заездов детей и режиме работы, а также количестве детей.</w:t>
        <w:br/>
        <w:br/>
        <w:t>СП 2.4.3648-20 «Санитарно-эпидемиологические требования к организациям воспитания и обучения, отдыха и оздоровления детей и молодежи», п. 3.12.1.</w:t>
        <w:br/>
        <w:br/>
      </w:r>
      <w:hyperlink r:id="rId31">
        <w:r>
          <w:rPr>
            <w:color w:val="173C49"/>
            <w:u w:val="single"/>
          </w:rPr>
          <w:t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  <w:r>
        <w:rPr>
          <w:b w:val="0"/>
          <w:i/>
        </w:rPr>
        <w:t xml:space="preserve"> </w:t>
      </w:r>
      <w:hyperlink r:id="rId75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В целях профилактики клещевого энцефалита, клещевого боррелиоза и геморрагической лихорадки с почечным синдромом и других инфекционных болезней перед открытием смены необходимо организовать и провести противоклещевую (акарицидную) обработку территории и мероприятия по борьбе с грызунами. После проведения обработок должен быть осуществлен контроль качества проведенных обработок против клещей и грызунов.</w:t>
        <w:br/>
        <w:br/>
        <w:t>СП 2.4.3648-20 «Санитарно-эпидемиологические требования к организациям воспитания и обучения, отдыха и оздоровления детей и молодежи», п. 3.11.2.</w:t>
        <w:br/>
        <w:br/>
      </w:r>
      <w:hyperlink r:id="rId31">
        <w:r>
          <w:rPr>
            <w:color w:val="173C49"/>
            <w:u w:val="single"/>
          </w:rPr>
          <w:t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  <w:r>
        <w:rPr>
          <w:b w:val="0"/>
          <w:i/>
        </w:rPr>
        <w:t xml:space="preserve"> </w:t>
      </w:r>
      <w:hyperlink r:id="rId76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К требованиям, предъявляемым к организации различных видов работ детей и подростков на открытых площадках, относят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4" name="Picture 7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запрет на выполнение трудовых работ детьми после 20:00 часов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5" name="Picture 7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обязательный осмотр на предмет присасывания клеща после возвращения с трудовых работ, выполняемых за пределами территории организации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осмотр детей на предмет присасывания клеща 1 раз в три дня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6" name="Picture 7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выполнение работ детьми и подростками только в головных уборах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7" name="Picture 77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выполнение работ в часы наименьшей инсоляции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6.</w:t>
      </w:r>
      <w:r>
        <w:tab/>
      </w:r>
      <w:r>
        <w:rPr>
          <w:b w:val="0"/>
          <w:i w:val="0"/>
        </w:rPr>
        <w:t>выполнение работ в послеобеденное время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1 — запрет на выполнение трудовых работ детьми после 20:00 часов; 2 — обязательный осмотр на предмет присасывания клеща после возвращения с трудовых работ, выполняемых за пределами территории организации; 4 — выполнение работ детьми и подростками только в головных уборах; 5 — выполнение работ в часы наименьшей инсоляции</w:t>
      </w:r>
    </w:p>
    <w:p>
      <w:pPr>
        <w:ind w:left="504"/>
      </w:pPr>
      <w:r>
        <w:rPr>
          <w:b w:val="0"/>
          <w:i/>
        </w:rPr>
        <w:t>Запрещается труд детей после 20:00 часов.</w:t>
        <w:br/>
        <w:br/>
        <w:t>СП 2.4.3648-20 «Санитарно-эпидемиологические требования к организациям воспитания и обучения, отдыха и оздоровления детей и молодежи», п. 3.14.1</w:t>
        <w:br/>
        <w:br/>
      </w:r>
      <w:hyperlink r:id="rId31">
        <w:r>
          <w:rPr>
            <w:color w:val="173C49"/>
            <w:u w:val="single"/>
          </w:rPr>
          <w:t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  <w:r>
        <w:rPr>
          <w:b w:val="0"/>
          <w:i/>
        </w:rPr>
        <w:t xml:space="preserve"> </w:t>
      </w:r>
      <w:hyperlink r:id="rId77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Перед дневным и ночным сном, а также по возвращении после выхода детей (экскурсия, поход) за пределы собственной территории в летний оздоровительный сезон дети осматриваются на предмет присасывания клеща.</w:t>
        <w:br/>
        <w:br/>
        <w:t>СП 2.4.3648-20 «Санитарно-эпидемиологические требования к организациям воспитания и обучения, отдыха и оздоровления детей и молодежи», п. 3.11.10</w:t>
        <w:br/>
        <w:br/>
      </w:r>
      <w:hyperlink r:id="rId31">
        <w:r>
          <w:rPr>
            <w:color w:val="173C49"/>
            <w:u w:val="single"/>
          </w:rPr>
          <w:t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  <w:r>
        <w:rPr>
          <w:b w:val="0"/>
          <w:i/>
        </w:rPr>
        <w:t xml:space="preserve"> </w:t>
      </w:r>
      <w:hyperlink r:id="rId78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«…» Дети должны работать в головных уборах «…»</w:t>
        <w:br/>
        <w:br/>
        <w:t>СП 2.4.3648-20 «Санитарно-эпидемиологические требования к организациям воспитания и обучения, отдыха и оздоровления детей и молодежи», п. 3.14.1</w:t>
        <w:br/>
        <w:br/>
      </w:r>
      <w:hyperlink r:id="rId31">
        <w:r>
          <w:rPr>
            <w:color w:val="173C49"/>
            <w:u w:val="single"/>
          </w:rPr>
          <w:t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  <w:r>
        <w:rPr>
          <w:b w:val="0"/>
          <w:i/>
        </w:rPr>
        <w:t xml:space="preserve"> </w:t>
      </w:r>
      <w:hyperlink r:id="rId79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В весенний, летний и осенний периоды в зависимости от климатических условий выполнение сельскохозяйственных и других видов работ на открытых площадках следует проводить в часы наименьшей инсоляции «…»</w:t>
        <w:br/>
        <w:br/>
        <w:t>СП 2.4.3648-20 «Санитарно-эпидемиологические требования к организациям воспитания и обучения, отдыха и оздоровления детей и молодежи», п. 3.14.1</w:t>
        <w:br/>
        <w:br/>
      </w:r>
      <w:hyperlink r:id="rId31">
        <w:r>
          <w:rPr>
            <w:color w:val="173C49"/>
            <w:u w:val="single"/>
          </w:rPr>
          <w:t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  <w:r>
        <w:rPr>
          <w:b w:val="0"/>
          <w:i/>
        </w:rPr>
        <w:t xml:space="preserve"> </w:t>
      </w:r>
      <w:hyperlink r:id="rId80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На основании анализа результатов исследования питьевой воды к нарушениям санитарного законодательства относят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8" name="Picture 7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превышение содержания железа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9" name="Picture 7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превышение общего микробного числа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снижение показателя общей минерализации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0" name="Picture 80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превышение показателя цветности и мутности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превышение содержания фторидов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6.</w:t>
      </w:r>
      <w:r>
        <w:tab/>
      </w:r>
      <w:r>
        <w:rPr>
          <w:b w:val="0"/>
          <w:i w:val="0"/>
        </w:rPr>
        <w:t>снижение перманганатной окисляемости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1 — превышение содержания железа; 2 — превышение общего микробного числа; 4 — превышение показателя цветности и мутности</w:t>
      </w:r>
    </w:p>
    <w:p>
      <w:pPr>
        <w:ind w:left="504"/>
      </w:pPr>
      <w:r>
        <w:rPr>
          <w:b w:val="0"/>
          <w:i/>
        </w:rPr>
        <w:t>В соответствии с таблицей 3.13 «Предельно допустимые концентрации (ПДК) химических веществ воде питьевой систем централизованного….водоснабжения…» части III «Нормативы качества и безопасности воды» санитарных правил и норм СанПиН 1.2.3685-21 «Гигиенические нормативы и требования к обеспечению безопасности и (или) безвредности для человека факторов среды обитания» ПДК железа может составлять не более 0,3 мг/л.</w:t>
        <w:br/>
        <w:br/>
        <w:t>СанПиН 1.2.3685-21 «Гигиенические нормативы и требования к обеспечению безопасности и (или) безвредности для человека факторов среды обитания», табл. 3.13, ч. III</w:t>
        <w:br/>
        <w:br/>
      </w:r>
      <w:hyperlink r:id="rId39">
        <w:r>
          <w:rPr>
            <w:color w:val="173C49"/>
            <w:u w:val="single"/>
          </w:rPr>
          <w:t>Постановление Главного государственного санитарного врача РФ от 28 января 2021 г. N 2 "Об утверждении санитарных правил и норм СанПиН 1.2.3685-21 "Гигиенические нормативы и требования к обеспечению безопасности и (или) безвредности для человека факторов среды обитания" (с изменениями и дополнениями)</w:t>
        </w:r>
      </w:hyperlink>
      <w:r>
        <w:rPr>
          <w:b w:val="0"/>
          <w:i/>
        </w:rPr>
        <w:t xml:space="preserve"> </w:t>
      </w:r>
      <w:hyperlink r:id="rId81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В соответствии с таблицей 3.5 «Санитарно-микробиологические и паразитологические показатели безопасности воды систем централизованного питьевого водоснабжения, в том числе горячего водоснабжения» части III «Нормативы качества и безопасности воды» санитарных правил и норм СанПиН 1.2.3685-21 «Гигиенические нормативы и требования к обеспечению безопасности и (или) безвредности для человека факторов среды обитания» общее микробное число может составлять не более 50 КОЕ/см3.</w:t>
        <w:br/>
        <w:br/>
        <w:t>СанПиН 1.2.3685-21 «Гигиенические нормативы и требования к обеспечению безопасности и (или) безвредности для человека факторов среды обитания», табл. 3.5, ч. III</w:t>
        <w:br/>
        <w:br/>
      </w:r>
      <w:hyperlink r:id="rId39">
        <w:r>
          <w:rPr>
            <w:color w:val="173C49"/>
            <w:u w:val="single"/>
          </w:rPr>
          <w:t>Постановление Главного государственного санитарного врача РФ от 28 января 2021 г. N 2 "Об утверждении санитарных правил и норм СанПиН 1.2.3685-21 "Гигиенические нормативы и требования к обеспечению безопасности и (или) безвредности для человека факторов среды обитания" (с изменениями и дополнениями)</w:t>
        </w:r>
      </w:hyperlink>
      <w:r>
        <w:rPr>
          <w:b w:val="0"/>
          <w:i/>
        </w:rPr>
        <w:t xml:space="preserve"> </w:t>
      </w:r>
      <w:hyperlink r:id="rId82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В соответствии с таблицей 3.1 «Органолептические показатели качества различных видов вод, кроме технической воды» части III «Нормативы качества и безопасности воды» санитарных правил и норм СанПиН 1.2.3685-21 «Гигиенические нормативы и требования к обеспечению безопасности и (или) безвредности для человека факторов среды обитания» показатель цветности может составлять не более 20 град., показатель мутности – не более 2,6 ЕМФ (по формазину).</w:t>
        <w:br/>
        <w:br/>
        <w:t>СанПиН 1.2.3685-21 «Гигиенические нормативы и требования к обеспечению безопасности и (или) безвредности для человека факторов среды обитания», табл. 3.1, ч. III</w:t>
        <w:br/>
        <w:br/>
      </w:r>
      <w:hyperlink r:id="rId39">
        <w:r>
          <w:rPr>
            <w:color w:val="173C49"/>
            <w:u w:val="single"/>
          </w:rPr>
          <w:t>Постановление Главного государственного санитарного врача РФ от 28 января 2021 г. N 2 "Об утверждении санитарных правил и норм СанПиН 1.2.3685-21 "Гигиенические нормативы и требования к обеспечению безопасности и (или) безвредности для человека факторов среды обитания" (с изменениями и дополнениями)</w:t>
        </w:r>
      </w:hyperlink>
      <w:r>
        <w:rPr>
          <w:b w:val="0"/>
          <w:i/>
        </w:rPr>
        <w:t xml:space="preserve"> </w:t>
      </w:r>
      <w:hyperlink r:id="rId83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К нарушениям санитарного законодательства и необходимым действиям в данной ситуации относят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1" name="Picture 81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определение дополнительных показателей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2" name="Picture 82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наличие в пробе воды энтерококков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3" name="Picture 83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наличие в пробе воды обобщенных колиморфных бактерий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определение _Legionella pneumophila_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определение показателя _Candida albicans_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4" name="Picture 84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наличие в пробе воды цист патогенных простейших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1 — определение дополнительных показателей; 2 — наличие в пробе воды энтерококков; 3 — наличие в пробе воды обобщенных колиморфных бактерий; 6 — наличие в пробе воды цист патогенных простейших</w:t>
      </w:r>
    </w:p>
    <w:p>
      <w:pPr>
        <w:ind w:left="504"/>
      </w:pPr>
      <w:r>
        <w:rPr>
          <w:b w:val="0"/>
          <w:i/>
        </w:rPr>
        <w:t>Дополнительные показатели возбудителей кишечных инфекций бактериальной и вирусной природы определяются в случае превышения допустимых уровней загрязнения одного или более основных показателей</w:t>
        <w:br/>
        <w:br/>
        <w:t>СанПиН 1.2.3685-21 «Гигиенические нормативы и требования к обеспечению безопасности и (или) безвредности для человека факторов среды обитания», п. 17, ч. III</w:t>
        <w:br/>
        <w:br/>
      </w:r>
      <w:hyperlink r:id="rId39">
        <w:r>
          <w:rPr>
            <w:color w:val="173C49"/>
            <w:u w:val="single"/>
          </w:rPr>
          <w:t>Постановление Главного государственного санитарного врача РФ от 28 января 2021 г. N 2 "Об утверждении санитарных правил и норм СанПиН 1.2.3685-21 "Гигиенические нормативы и требования к обеспечению безопасности и (или) безвредности для человека факторов среды обитания" (с изменениями и дополнениями)</w:t>
        </w:r>
      </w:hyperlink>
      <w:r>
        <w:rPr>
          <w:b w:val="0"/>
          <w:i/>
        </w:rPr>
        <w:t xml:space="preserve"> </w:t>
      </w:r>
      <w:hyperlink r:id="rId84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В соответствии с таблицей 3.10 «Санитарно-микробиологические и паразитологические показатели безопасности воды плавательных бассейнов и аквапарков» части III «Нормативы качества и безопасности воды» санитарных правил и норм СанПиН 1.2.3685-21 «Гигиенические нормативы и требования к обеспечению безопасности и (или) безвредности для человека факторов среды обитания» энтерококки в пробе воды должны отсутствовать.</w:t>
        <w:br/>
        <w:br/>
        <w:t>СанПиН 1.2.3685-21 «Гигиенические нормативы и требования к обеспечению безопасности и (или) безвредности для человека факторов среды обитания», табл. 3.10, ч. III</w:t>
        <w:br/>
        <w:br/>
      </w:r>
      <w:hyperlink r:id="rId39">
        <w:r>
          <w:rPr>
            <w:color w:val="173C49"/>
            <w:u w:val="single"/>
          </w:rPr>
          <w:t>Постановление Главного государственного санитарного врача РФ от 28 января 2021 г. N 2 "Об утверждении санитарных правил и норм СанПиН 1.2.3685-21 "Гигиенические нормативы и требования к обеспечению безопасности и (или) безвредности для человека факторов среды обитания" (с изменениями и дополнениями)</w:t>
        </w:r>
      </w:hyperlink>
      <w:r>
        <w:rPr>
          <w:b w:val="0"/>
          <w:i/>
        </w:rPr>
        <w:t xml:space="preserve"> </w:t>
      </w:r>
      <w:hyperlink r:id="rId85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В соответствии с таблицей 3.10 «Санитарно-микробиологические и паразитологические показатели безопасности воды плавательных бассейнов и аквапарков» части III «Нормативы качества и безопасности воды» санитарных правил и норм СанПиН 1.2.3685-21 «Гигиенические нормативы и требования к обеспечению безопасности и (или) безвредности для человека факторов среды обитания» обобщенные колиморфные бактерии в пробе воды должны отсутствовать.</w:t>
        <w:br/>
        <w:br/>
        <w:t>СанПиН 1.2.3685-21 «Гигиенические нормативы и требования к обеспечению безопасности и (или) безвредности для человека факторов среды обитания», табл. 3.10, ч. III</w:t>
        <w:br/>
        <w:br/>
      </w:r>
      <w:hyperlink r:id="rId39">
        <w:r>
          <w:rPr>
            <w:color w:val="173C49"/>
            <w:u w:val="single"/>
          </w:rPr>
          <w:t>Постановление Главного государственного санитарного врача РФ от 28 января 2021 г. N 2 "Об утверждении санитарных правил и норм СанПиН 1.2.3685-21 "Гигиенические нормативы и требования к обеспечению безопасности и (или) безвредности для человека факторов среды обитания" (с изменениями и дополнениями)</w:t>
        </w:r>
      </w:hyperlink>
      <w:r>
        <w:rPr>
          <w:b w:val="0"/>
          <w:i/>
        </w:rPr>
        <w:t xml:space="preserve"> </w:t>
      </w:r>
      <w:hyperlink r:id="rId85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В соответствии с таблицей 3.10 «Санитарно-микробиологические и паразитологические показатели безопасности воды плавательных бассейнов и аквапарков» части III «Нормативы качества и безопасности воды» санитарных правил и норм СанПиН 1.2.3685-21 «Гигиенические нормативы и требования к обеспечению безопасности и (или) безвредности для человека факторов среды обитания» цисты патогенных простейших в пробе воды должны отсутствовать.</w:t>
        <w:br/>
        <w:br/>
        <w:t>СанПиН 1.2.3685-21 «Гигиенические нормативы и требования к обеспечению безопасности и (или) безвредности для человека факторов среды обитания», табл. 3.10, ч. III</w:t>
        <w:br/>
        <w:br/>
      </w:r>
      <w:hyperlink r:id="rId39">
        <w:r>
          <w:rPr>
            <w:color w:val="173C49"/>
            <w:u w:val="single"/>
          </w:rPr>
          <w:t>Постановление Главного государственного санитарного врача РФ от 28 января 2021 г. N 2 "Об утверждении санитарных правил и норм СанПиН 1.2.3685-21 "Гигиенические нормативы и требования к обеспечению безопасности и (или) безвредности для человека факторов среды обитания" (с изменениями и дополнениями)</w:t>
        </w:r>
      </w:hyperlink>
      <w:r>
        <w:rPr>
          <w:b w:val="0"/>
          <w:i/>
        </w:rPr>
        <w:t xml:space="preserve"> </w:t>
      </w:r>
      <w:hyperlink r:id="rId85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К нарушениям санитарного законодательства относят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5" name="Picture 8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проведение трудовой деятельности в часы высокой инсоляции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6" name="Picture 8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отсутствие четкого зонирования территории лагеря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7" name="Picture 8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продолжительность труда детей не менее 3-х часов в день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пребывание детей 12-14 лет в организации труда и отдыха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проведение утренней зарядки более 15 минут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8" name="Picture 88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недостаточную продолжительность ночного сна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1 — проведение трудовой деятельности в часы высокой инсоляции; 2 — отсутствие четкого зонирования территории лагеря; 3 — продолжительность труда детей не менее 3-х часов в день; 6 — недостаточную продолжительность ночного сна</w:t>
      </w:r>
    </w:p>
    <w:p>
      <w:pPr>
        <w:ind w:left="504"/>
      </w:pPr>
      <w:r>
        <w:rPr>
          <w:b w:val="0"/>
          <w:i/>
        </w:rPr>
        <w:t>В весенний, летний и осенний периоды в зависимости от климатических условий выполнение сельскохозяйственных и других видов работ на открытых площадках следует проводить в часы наименьшей инсоляции «…»</w:t>
        <w:br/>
        <w:br/>
        <w:t>СП 2.4.3648-20 «Санитарно-эпидемиологические требования к организациям воспитания и обучения, отдыха и оздоровления детей и молодежи», п. 3.14.1</w:t>
        <w:br/>
        <w:br/>
      </w:r>
      <w:hyperlink r:id="rId31">
        <w:r>
          <w:rPr>
            <w:color w:val="173C49"/>
            <w:u w:val="single"/>
          </w:rPr>
          <w:t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  <w:r>
        <w:rPr>
          <w:b w:val="0"/>
          <w:i/>
        </w:rPr>
        <w:t xml:space="preserve"> </w:t>
      </w:r>
      <w:hyperlink r:id="rId80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На собственной территории выделяют следующие зоны: жилая, физкультурно-оздоровительная, хозяйственная «..»</w:t>
        <w:br/>
        <w:br/>
        <w:t>СП 2.4.3648-20 «Санитарно-эпидемиологические требования к организациям воспитания и обучения, отдыха и оздоровления детей и молодежи», п. 3.11.3</w:t>
        <w:br/>
        <w:br/>
      </w:r>
      <w:hyperlink r:id="rId31">
        <w:r>
          <w:rPr>
            <w:color w:val="173C49"/>
            <w:u w:val="single"/>
          </w:rPr>
          <w:t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  <w:r>
        <w:rPr>
          <w:b w:val="0"/>
          <w:i/>
        </w:rPr>
        <w:t xml:space="preserve"> </w:t>
      </w:r>
      <w:hyperlink r:id="rId86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В соответствии с таблицей 6.7. части VI санитарных правил и норм СанПиН 1.2.3685-21 «Гигиенические нормативы и требования к обеспечению безопасности и (или) безвредности для человека факторов среды обитания» продолжительность труда детей 12-13 лет должна составлять не более 2,0 ч в день, для детей 14-15 лет – не более 2,5 ч в день.</w:t>
        <w:br/>
        <w:br/>
        <w:t>СанПиН 1.2.3685-21 «Гигиенические нормативы и требования к обеспечению безопасности и (или) безвредности для человека факторов среды обитания», табл. 6.7, ч. VI</w:t>
        <w:br/>
        <w:br/>
      </w:r>
      <w:hyperlink r:id="rId39">
        <w:r>
          <w:rPr>
            <w:color w:val="173C49"/>
            <w:u w:val="single"/>
          </w:rPr>
          <w:t>Постановление Главного государственного санитарного врача РФ от 28 января 2021 г. N 2 "Об утверждении санитарных правил и норм СанПиН 1.2.3685-21 "Гигиенические нормативы и требования к обеспечению безопасности и (или) безвредности для человека факторов среды обитания" (с изменениями и дополнениями)</w:t>
        </w:r>
      </w:hyperlink>
      <w:r>
        <w:rPr>
          <w:b w:val="0"/>
          <w:i/>
        </w:rPr>
        <w:t xml:space="preserve"> </w:t>
      </w:r>
      <w:hyperlink r:id="rId87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В соответствии с таблицей 6.7. части VI санитарных правил и норм СанПиН 1.2.3685-21 «Гигиенические нормативы и требования к обеспечению безопасности и (или) безвредности для человека факторов среды обитания» продолжительность ночного сна для детей в возрасте 11-14 лет должна составлять не менее 9,0 час.</w:t>
        <w:br/>
        <w:br/>
        <w:t>СанПиН 1.2.3685-21 «Гигиенические нормативы и требования к обеспечению безопасности и (или) безвредности для человека факторов среды обитания», табл. 6.7, ч. VI</w:t>
        <w:br/>
        <w:br/>
      </w:r>
      <w:hyperlink r:id="rId39">
        <w:r>
          <w:rPr>
            <w:color w:val="173C49"/>
            <w:u w:val="single"/>
          </w:rPr>
          <w:t>Постановление Главного государственного санитарного врача РФ от 28 января 2021 г. N 2 "Об утверждении санитарных правил и норм СанПиН 1.2.3685-21 "Гигиенические нормативы и требования к обеспечению безопасности и (или) безвредности для человека факторов среды обитания" (с изменениями и дополнениями)</w:t>
        </w:r>
      </w:hyperlink>
      <w:r>
        <w:rPr>
          <w:b w:val="0"/>
          <w:i/>
        </w:rPr>
        <w:t xml:space="preserve"> </w:t>
      </w:r>
      <w:hyperlink r:id="rId87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К требованиям санитарного законодательства, обязательным для исполнения сотрудниками организации труда и отдыха детей относят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9" name="Picture 89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вакцинацию каждого работника в соответствии с национальным календарем профилактических прививок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0" name="Picture 9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предварительный и периодические медицинские осмотры при поступлении на работу в установленном порядке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ежедневный осмотр после окончания работы персонала организации труда и отдыха детей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1" name="Picture 91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наличие личной медицинской книжки у работника организации труда и отдыха детей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обязательное гигиеническое обучение и аттестацию персонала не реже 1 раза в 2 года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2" name="Picture 92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обязательную гигиеническую подготовку и аттестацию персонала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1 — вакцинацию каждого работника в соответствии с национальным календарем профилактических прививок; 2 — предварительный и периодические медицинские осмотры при поступлении на работу в установленном порядке; 4 — наличие личной медицинской книжки у работника организации труда и отдыха детей; 6 — обязательную гигиеническую подготовку и аттестацию персонала</w:t>
      </w:r>
    </w:p>
    <w:p>
      <w:pPr>
        <w:ind w:left="504"/>
      </w:pPr>
      <w:r>
        <w:rPr>
          <w:b w:val="0"/>
          <w:i/>
        </w:rPr>
        <w:t>Работники хозяйствующих субъектов должны соответствовать требованиям, «…» иметь личную медицинскую книжку с результатами медицинских обследований и лабораторных исследований, сведениями о прививках, «…»</w:t>
        <w:br/>
        <w:br/>
        <w:t>СП 2.4.3648-20 «Санитарно-эпидемиологические требования к организациям воспитания и обучения, отдыха и оздоровления детей и молодежи», п. 1.5.</w:t>
        <w:br/>
        <w:br/>
      </w:r>
      <w:hyperlink r:id="rId31">
        <w:r>
          <w:rPr>
            <w:color w:val="173C49"/>
            <w:u w:val="single"/>
          </w:rPr>
          <w:t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  <w:r>
        <w:rPr>
          <w:b w:val="0"/>
          <w:i/>
        </w:rPr>
        <w:t xml:space="preserve"> </w:t>
      </w:r>
      <w:hyperlink r:id="rId63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Работники хозяйствующих субъектов должны соответствовать требованиям, касающимся прохождения ими предварительных (при поступлении на работу) и периодических медицинских осмотров</w:t>
        <w:br/>
        <w:br/>
        <w:t>СП 2.4.3648-20 «Санитарно-эпидемиологические требования к организациям воспитания и обучения, отдыха и оздоровления детей и молодежи», п. 1.5.</w:t>
        <w:br/>
        <w:br/>
      </w:r>
      <w:hyperlink r:id="rId31">
        <w:r>
          <w:rPr>
            <w:color w:val="173C49"/>
            <w:u w:val="single"/>
          </w:rPr>
          <w:t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  <w:r>
        <w:rPr>
          <w:b w:val="0"/>
          <w:i/>
        </w:rPr>
        <w:t xml:space="preserve"> </w:t>
      </w:r>
      <w:hyperlink r:id="rId63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Работники хозяйствующих субъектов должны соответствовать требованиям, «..» и иметь личную медицинскую книжку с результатами медицинских обследований и лабораторных исследований, сведениями о прививках, перенесенных инфекционных заболеваниях, о прохождении профессиональной гигиенической подготовки и аттестации с допуском к работе.</w:t>
        <w:br/>
        <w:br/>
        <w:t>СП 2.4.3648-20 «Санитарно-эпидемиологические требования к организациям воспитания и обучения, отдыха и оздоровления детей и молодежи», п. 1.5.</w:t>
        <w:br/>
        <w:br/>
      </w:r>
      <w:hyperlink r:id="rId31">
        <w:r>
          <w:rPr>
            <w:color w:val="173C49"/>
            <w:u w:val="single"/>
          </w:rPr>
          <w:t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  <w:r>
        <w:rPr>
          <w:b w:val="0"/>
          <w:i/>
        </w:rPr>
        <w:t xml:space="preserve"> </w:t>
      </w:r>
      <w:hyperlink r:id="rId63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Работники хозяйствующих субъектов должны соответствовать требованиям, «..» и иметь личную медицинскую книжку с результатами медицинских обследований и лабораторных исследований, сведениями о прививках, перенесенных инфекционных заболеваниях, о прохождении профессиональной гигиенической подготовки и аттестации с допуском к работе.</w:t>
        <w:br/>
        <w:br/>
        <w:t>СП 2.4.3648-20 «Санитарно-эпидемиологические требования к организациям воспитания и обучения, отдыха и оздоровления детей и молодежи», п. 1.5.</w:t>
        <w:br/>
        <w:br/>
      </w:r>
      <w:hyperlink r:id="rId31">
        <w:r>
          <w:rPr>
            <w:color w:val="173C49"/>
            <w:u w:val="single"/>
          </w:rPr>
          <w:t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  <w:r>
        <w:rPr>
          <w:b w:val="0"/>
          <w:i/>
        </w:rPr>
        <w:t xml:space="preserve"> </w:t>
      </w:r>
      <w:hyperlink r:id="rId63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К основным требованиям, предъявляемым к размещению и оборудованию изолятора медицинского пункта организации труда и отдыха детей, относят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3" name="Picture 9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наличие туалета с раковиной для мытья рук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4" name="Picture 9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наличие не менее двух палат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наличие отдельного поста медицинской сестры изолятора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5" name="Picture 9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наличие буфетной с двумя моечными раковинами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6" name="Picture 96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оборудование ванной комнаты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7" name="Picture 97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наличие шкафов для хранения посуды в буфетной изолятора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1 — наличие туалета с раковиной для мытья рук; 2 — наличие не менее двух палат; 4 — наличие буфетной с двумя моечными раковинами; 5 — оборудование ванной комнаты; 6 — наличие шкафов для хранения посуды в буфетной изолятора</w:t>
      </w:r>
    </w:p>
    <w:p>
      <w:pPr>
        <w:ind w:left="504"/>
      </w:pPr>
      <w:r>
        <w:rPr>
          <w:b w:val="0"/>
          <w:i/>
        </w:rPr>
        <w:t>«…» В составе помещений изолятора предусматриваются: туалет с раковиной для мытья рук, а также буфетная с двумя моечными раковинами для мойки посуды и шкафами для ее хранения «…»</w:t>
        <w:br/>
        <w:br/>
        <w:t>СП 2.4.3648-20 «Санитарно-эпидемиологические требования к организациям воспитания и обучения, отдыха и оздоровления детей и молодежи», п.3.11.5</w:t>
        <w:br/>
        <w:br/>
      </w:r>
      <w:hyperlink r:id="rId31">
        <w:r>
          <w:rPr>
            <w:color w:val="173C49"/>
            <w:u w:val="single"/>
          </w:rPr>
          <w:t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  <w:r>
        <w:rPr>
          <w:b w:val="0"/>
          <w:i/>
        </w:rPr>
        <w:t xml:space="preserve"> </w:t>
      </w:r>
      <w:hyperlink r:id="rId88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В изоляторе медицинского пункта предусматриваются не менее двух палат (раздельно для капельных и кишечных инфекций) «..»</w:t>
        <w:br/>
        <w:br/>
        <w:t>СП 2.4.3648-20 «Санитарно-эпидемиологические требования к организациям воспитания и обучения, отдыха и оздоровления детей и молодежи», п.3.11.5</w:t>
        <w:br/>
        <w:br/>
      </w:r>
      <w:hyperlink r:id="rId31">
        <w:r>
          <w:rPr>
            <w:color w:val="173C49"/>
            <w:u w:val="single"/>
          </w:rPr>
          <w:t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  <w:r>
        <w:rPr>
          <w:b w:val="0"/>
          <w:i/>
        </w:rPr>
        <w:t xml:space="preserve"> </w:t>
      </w:r>
      <w:hyperlink r:id="rId88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«…» В составе помещений изолятора предусматриваются: туалет с раковиной для мытья рук, а также буфетная с двумя моечными раковинами для мойки посуды и шкафами для ее хранения «…»</w:t>
        <w:br/>
        <w:br/>
        <w:t>СП 2.4.3648-20 «Санитарно-эпидемиологические требования к организациям воспитания и обучения, отдыха и оздоровления детей и молодежи», п.3.11.5</w:t>
        <w:br/>
        <w:br/>
      </w:r>
      <w:hyperlink r:id="rId31">
        <w:r>
          <w:rPr>
            <w:color w:val="173C49"/>
            <w:u w:val="single"/>
          </w:rPr>
          <w:t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  <w:r>
        <w:rPr>
          <w:b w:val="0"/>
          <w:i/>
        </w:rPr>
        <w:t xml:space="preserve"> </w:t>
      </w:r>
      <w:hyperlink r:id="rId88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«…» Возможно оборудование в медицинском пункте или в изоляторе душевой (ванной комнаты).</w:t>
        <w:br/>
        <w:br/>
        <w:t>СП 2.4.3648-20 «Санитарно-эпидемиологические требования к организациям воспитания и обучения, отдыха и оздоровления детей и молодежи», п.3.11.5</w:t>
        <w:br/>
        <w:br/>
      </w:r>
      <w:hyperlink r:id="rId31">
        <w:r>
          <w:rPr>
            <w:color w:val="173C49"/>
            <w:u w:val="single"/>
          </w:rPr>
          <w:t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  <w:r>
        <w:rPr>
          <w:b w:val="0"/>
          <w:i/>
        </w:rPr>
        <w:t xml:space="preserve"> </w:t>
      </w:r>
      <w:hyperlink r:id="rId89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«…» В составе помещений изолятора предусматриваются: туалет с раковиной для мытья рук, а также буфетная с двумя моечными раковинами для мойки посуды и шкафами для ее хранения «…»</w:t>
        <w:br/>
        <w:br/>
        <w:t>СП 2.4.3648-20 «Санитарно-эпидемиологические требования к организациям воспитания и обучения, отдыха и оздоровления детей и молодежи», п.3.11.5</w:t>
        <w:br/>
        <w:br/>
      </w:r>
      <w:hyperlink r:id="rId31">
        <w:r>
          <w:rPr>
            <w:color w:val="173C49"/>
            <w:u w:val="single"/>
          </w:rPr>
          <w:t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  <w:r>
        <w:rPr>
          <w:b w:val="0"/>
          <w:i/>
        </w:rPr>
        <w:t xml:space="preserve"> </w:t>
      </w:r>
      <w:hyperlink r:id="rId88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К основным нормируемым показателям тяжести трудового процесса для детей и подростков относят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8" name="Picture 9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массу перемещаемого груза вручную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9" name="Picture 9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величину статической нагрузки за смену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0" name="Picture 10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физическую динамическую нагрузку за смену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1" name="Picture 101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стереотипные рабочие движения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сочетание статической и динамической нагрузки за рабочий день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6.</w:t>
      </w:r>
      <w:r>
        <w:tab/>
      </w:r>
      <w:r>
        <w:rPr>
          <w:b w:val="0"/>
          <w:i w:val="0"/>
        </w:rPr>
        <w:t>размер перемещаемого груза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1 — массу перемещаемого груза вручную; 2 — величину статической нагрузки за смену; 3 — физическую динамическую нагрузку за смену; 4 — стереотипные рабочие движения</w:t>
      </w:r>
    </w:p>
    <w:p>
      <w:pPr>
        <w:ind w:left="504"/>
      </w:pPr>
      <w:r>
        <w:rPr>
          <w:b w:val="0"/>
          <w:i/>
        </w:rPr>
        <w:t>В соответствии с таблицей 6.16. части VI санитарных правил и норм СанПиН 1.2.3685-21 «Гигиенические нормативы и требования к обеспечению безопасности и (или) безвредности для человека факторов среды обитания» к основным нормируемым показателям тяжести трудового процесса относят массу перемещаемого груза вручную.</w:t>
        <w:br/>
        <w:br/>
        <w:t>СанПиН 1.2.3685-21 «Гигиенические нормативы и требования к обеспечению безопасности и (или) безвредности для человека факторов среды обитания», табл. 6.16, ч. VI</w:t>
        <w:br/>
        <w:br/>
      </w:r>
      <w:hyperlink r:id="rId39">
        <w:r>
          <w:rPr>
            <w:color w:val="173C49"/>
            <w:u w:val="single"/>
          </w:rPr>
          <w:t>Постановление Главного государственного санитарного врача РФ от 28 января 2021 г. N 2 "Об утверждении санитарных правил и норм СанПиН 1.2.3685-21 "Гигиенические нормативы и требования к обеспечению безопасности и (или) безвредности для человека факторов среды обитания" (с изменениями и дополнениями)</w:t>
        </w:r>
      </w:hyperlink>
      <w:r>
        <w:rPr>
          <w:b w:val="0"/>
          <w:i/>
        </w:rPr>
        <w:t xml:space="preserve"> </w:t>
      </w:r>
      <w:hyperlink r:id="rId90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В соответствии с таблицей 6.16. части VI санитарных правил и норм СанПиН 1.2.3685-21 «Гигиенические нормативы и требования к обеспечению безопасности и (или) безвредности для человека факторов среды обитания» к основным нормируемым показателям тяжести трудового процесса относят величину статической нагрузки за смену.</w:t>
        <w:br/>
        <w:br/>
        <w:t>СанПиН 1.2.3685-21 «Гигиенические нормативы и требования к обеспечению безопасности и (или) безвредности для человека факторов среды обитания», табл. 6.7, ч. VI</w:t>
        <w:br/>
        <w:br/>
      </w:r>
      <w:hyperlink r:id="rId39">
        <w:r>
          <w:rPr>
            <w:color w:val="173C49"/>
            <w:u w:val="single"/>
          </w:rPr>
          <w:t>Постановление Главного государственного санитарного врача РФ от 28 января 2021 г. N 2 "Об утверждении санитарных правил и норм СанПиН 1.2.3685-21 "Гигиенические нормативы и требования к обеспечению безопасности и (или) безвредности для человека факторов среды обитания" (с изменениями и дополнениями)</w:t>
        </w:r>
      </w:hyperlink>
      <w:r>
        <w:rPr>
          <w:b w:val="0"/>
          <w:i/>
        </w:rPr>
        <w:t xml:space="preserve"> </w:t>
      </w:r>
      <w:hyperlink r:id="rId87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В соответствии с таблицей 6.16. части VI санитарных правил и норм СанПиН 1.2.3685-21 «Гигиенические нормативы и требования к обеспечению безопасности и (или) безвредности для человека факторов среды обитания» к основным нормируемым показателям тяжести трудового процесса относят физическую динамическую нагрузку за смену.</w:t>
        <w:br/>
        <w:br/>
        <w:t>СанПиН 1.2.3685-21 «Гигиенические нормативы и требования к обеспечению безопасности и (или) безвредности для человека факторов среды обитания», табл. 6.16, ч. VI</w:t>
        <w:br/>
        <w:br/>
      </w:r>
      <w:hyperlink r:id="rId39">
        <w:r>
          <w:rPr>
            <w:color w:val="173C49"/>
            <w:u w:val="single"/>
          </w:rPr>
          <w:t>Постановление Главного государственного санитарного врача РФ от 28 января 2021 г. N 2 "Об утверждении санитарных правил и норм СанПиН 1.2.3685-21 "Гигиенические нормативы и требования к обеспечению безопасности и (или) безвредности для человека факторов среды обитания" (с изменениями и дополнениями)</w:t>
        </w:r>
      </w:hyperlink>
      <w:r>
        <w:rPr>
          <w:b w:val="0"/>
          <w:i/>
        </w:rPr>
        <w:t xml:space="preserve"> </w:t>
      </w:r>
      <w:hyperlink r:id="rId90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В соответствии с таблицей 6.16. части VI санитарных правил и норм СанПиН 1.2.3685-21 «Гигиенические нормативы и требования к обеспечению безопасности и (или) безвредности для человека факторов среды обитания» к основным нормируемым показателям тяжести трудового процесса относят стереотипные рабочие движения.</w:t>
        <w:br/>
        <w:br/>
        <w:t>СанПиН 1.2.3685-21 «Гигиенические нормативы и требования к обеспечению безопасности и (или) безвредности для человека факторов среды обитания», табл. 6.7, ч. VI</w:t>
        <w:br/>
        <w:br/>
      </w:r>
      <w:hyperlink r:id="rId39">
        <w:r>
          <w:rPr>
            <w:color w:val="173C49"/>
            <w:u w:val="single"/>
          </w:rPr>
          <w:t>Постановление Главного государственного санитарного врача РФ от 28 января 2021 г. N 2 "Об утверждении санитарных правил и норм СанПиН 1.2.3685-21 "Гигиенические нормативы и требования к обеспечению безопасности и (или) безвредности для человека факторов среды обитания" (с изменениями и дополнениями)</w:t>
        </w:r>
      </w:hyperlink>
      <w:r>
        <w:rPr>
          <w:b w:val="0"/>
          <w:i/>
        </w:rPr>
        <w:t xml:space="preserve"> </w:t>
      </w:r>
      <w:hyperlink r:id="rId87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2. Разработка мероприятий</w:t>
      </w:r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Порядок оформления результатов контрольного (надзорного) мероприятия по обследованию организации труда и отдыха детей и подростков предусматривает, что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оформляется акт административного расследования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2" name="Picture 102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направляется акт контрольного (надзорного) мероприятия в органы прокуратуры посредством единого реестра контрольных (надзорных) мероприятий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3" name="Picture 103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оформление акта производится на месте проведения контрольного (надзорного) мероприятия, в день его окончания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4" name="Picture 10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материалы, являющиеся доказательствами выявленных нарушений, должны быть приобщены к акту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5" name="Picture 105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при выявлении нарушений обязательных требований – в акте указывается какое именно требование нарушено и каким нормативным правовым актом оно установлено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6" name="Picture 106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 окончании проведения контрольного (надзорного) мероприятия составляется акт контрольного (надзорного) мероприятия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2 — направляется акт контрольного (надзорного) мероприятия в органы прокуратуры посредством единого реестра контрольных (надзорных) мероприятий; 3 — оформление акта производится на месте проведения контрольного (надзорного) мероприятия, в день его окончания; 4 — материалы, являющиеся доказательствами выявленных нарушений, должны быть приобщены к акту; 5 — при выявлении нарушений обязательных требований – в акте указывается какое именно требование нарушено и каким нормативным правовым актом оно установлено; 6 — по окончании проведения контрольного (надзорного) мероприятия составляется акт контрольного (надзорного) мероприятия</w:t>
      </w:r>
    </w:p>
    <w:p>
      <w:pPr>
        <w:ind w:left="504"/>
      </w:pPr>
      <w:r>
        <w:rPr>
          <w:b w:val="0"/>
          <w:i/>
        </w:rPr>
        <w:t>Акт контрольного (надзорного) мероприятия, проведение которого было согласовано органами прокуратуры, направляется в органы прокуратуры посредством единого реестра контрольных (надзорных) мероприятий непосредственно после его оформления.</w:t>
        <w:br/>
        <w:br/>
        <w:t>Федерального закона «О государственном контроле (надзоре) и муниципальном контроле в Российской Федерации» от 31.07.2020 N 248-ФЗ, п. 5 ст. 87</w:t>
        <w:br/>
        <w:br/>
      </w:r>
      <w:hyperlink r:id="rId24">
        <w:r>
          <w:rPr>
            <w:color w:val="173C49"/>
            <w:u w:val="single"/>
          </w:rPr>
          <w:t>Федеральный закон 31 июля 2020 г. N 248-ФЗ "О государственном контроле (надзоре) и муниципальном контроле в Российской Федерации"</w:t>
        </w:r>
      </w:hyperlink>
      <w:r>
        <w:rPr>
          <w:b w:val="0"/>
          <w:i/>
        </w:rPr>
        <w:t xml:space="preserve"> </w:t>
      </w:r>
      <w:hyperlink r:id="rId91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Оформление акта производится на месте проведения контрольного (надзорного) мероприятия в день окончания проведения такого мероприятия, если иной порядок оформления акта не установлен Правительством Российской Федерации.</w:t>
        <w:br/>
        <w:br/>
        <w:t>Федерального закона «О государственном контроле (надзоре) и муниципальном контроле в Российской Федерации» от 31.07.2020 N 248-ФЗ, п. 3 ст. 87</w:t>
        <w:br/>
        <w:br/>
      </w:r>
      <w:hyperlink r:id="rId24">
        <w:r>
          <w:rPr>
            <w:color w:val="173C49"/>
            <w:u w:val="single"/>
          </w:rPr>
          <w:t>Федеральный закон 31 июля 2020 г. N 248-ФЗ "О государственном контроле (надзоре) и муниципальном контроле в Российской Федерации"</w:t>
        </w:r>
      </w:hyperlink>
      <w:r>
        <w:rPr>
          <w:b w:val="0"/>
          <w:i/>
        </w:rPr>
        <w:t xml:space="preserve"> </w:t>
      </w:r>
      <w:hyperlink r:id="rId92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Документы, иные материалы, являющиеся доказательствами нарушения обязательных требований, должны быть приобщены к акту. Заполненные при проведении контрольного (надзорного) мероприятия проверочные листы должны быть приобщены к акту.</w:t>
        <w:br/>
        <w:br/>
        <w:t>Федерального закона «О государственном контроле (надзоре) и муниципальном контроле в Российской Федерации» от 31.07.2020 N 248-ФЗ, п. 2 ст. 87</w:t>
        <w:br/>
        <w:br/>
      </w:r>
      <w:hyperlink r:id="rId24">
        <w:r>
          <w:rPr>
            <w:color w:val="173C49"/>
            <w:u w:val="single"/>
          </w:rPr>
          <w:t>Федеральный закон 31 июля 2020 г. N 248-ФЗ "О государственном контроле (надзоре) и муниципальном контроле в Российской Федерации"</w:t>
        </w:r>
      </w:hyperlink>
      <w:r>
        <w:rPr>
          <w:b w:val="0"/>
          <w:i/>
        </w:rPr>
        <w:t xml:space="preserve"> </w:t>
      </w:r>
      <w:hyperlink r:id="rId93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В случае, если по результатам проведения такого мероприятия выявлено нарушение обязательных требований, в акте должно быть указано, какое именно обязательное требование нарушено, каким нормативным правовым актом и его структурной единицей оно установлено.</w:t>
        <w:br/>
        <w:br/>
        <w:t>Федерального закона «О государственном контроле (надзоре) и муниципальном контроле в Российской Федерации» от 31.07.2020 N 248-ФЗ, п. 2 ст. 87</w:t>
        <w:br/>
        <w:br/>
      </w:r>
      <w:hyperlink r:id="rId24">
        <w:r>
          <w:rPr>
            <w:color w:val="173C49"/>
            <w:u w:val="single"/>
          </w:rPr>
          <w:t>Федеральный закон 31 июля 2020 г. N 248-ФЗ "О государственном контроле (надзоре) и муниципальном контроле в Российской Федерации"</w:t>
        </w:r>
      </w:hyperlink>
      <w:r>
        <w:rPr>
          <w:b w:val="0"/>
          <w:i/>
        </w:rPr>
        <w:t xml:space="preserve"> </w:t>
      </w:r>
      <w:hyperlink r:id="rId93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По окончании проведения контрольного (надзорного) мероприятия, предусматривающего взаимодействие с контролируемым лицом, составляется акт контрольного (надзорного) мероприятия.</w:t>
        <w:br/>
        <w:br/>
        <w:t>Федерального закона «О государственном контроле (надзоре) и муниципальном контроле в Российской Федерации» от 31.07.2020 N 248-ФЗ, п. 2 ст. 87</w:t>
        <w:br/>
        <w:br/>
      </w:r>
      <w:hyperlink r:id="rId24">
        <w:r>
          <w:rPr>
            <w:color w:val="173C49"/>
            <w:u w:val="single"/>
          </w:rPr>
          <w:t>Федеральный закон 31 июля 2020 г. N 248-ФЗ "О государственном контроле (надзоре) и муниципальном контроле в Российской Федерации"</w:t>
        </w:r>
      </w:hyperlink>
      <w:r>
        <w:rPr>
          <w:b w:val="0"/>
          <w:i/>
        </w:rPr>
        <w:t xml:space="preserve"> </w:t>
      </w:r>
      <w:hyperlink r:id="rId93">
        <w:r>
          <w:rPr>
            <w:color w:val="173C49"/>
            <w:u w:val="single"/>
          </w:rPr>
          <w:t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Гигиена детей и подростков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Relationship Id="rId23" Type="http://schemas.openxmlformats.org/officeDocument/2006/relationships/image" Target="media/image8.png"/><Relationship Id="rId24" Type="http://schemas.openxmlformats.org/officeDocument/2006/relationships/hyperlink" Target="https://library.mededtech.ru/rest/documents/fzN248/" TargetMode="External"/><Relationship Id="rId25" Type="http://schemas.openxmlformats.org/officeDocument/2006/relationships/hyperlink" Target="https://library.mededtech.ru/rest/documents/fzN248/#list_item_2n81d7" TargetMode="External"/><Relationship Id="rId26" Type="http://schemas.openxmlformats.org/officeDocument/2006/relationships/hyperlink" Target="https://library.mededtech.ru/rest/documents/fzN248/#list_item_q8o1t8" TargetMode="External"/><Relationship Id="rId27" Type="http://schemas.openxmlformats.org/officeDocument/2006/relationships/hyperlink" Target="https://library.mededtech.ru/rest/documents/fzN248/#list_item_64q534" TargetMode="External"/><Relationship Id="rId28" Type="http://schemas.openxmlformats.org/officeDocument/2006/relationships/hyperlink" Target="https://library.mededtech.ru/rest/documents/fzN248/#list_item_54kkic" TargetMode="External"/><Relationship Id="rId29" Type="http://schemas.openxmlformats.org/officeDocument/2006/relationships/hyperlink" Target="https://library.mededtech.ru/rest/documents/fzN248/#list_item_fmu2vo" TargetMode="External"/><Relationship Id="rId30" Type="http://schemas.openxmlformats.org/officeDocument/2006/relationships/hyperlink" Target="https://library.mededtech.ru/rest/documents/fzN248/#list_item_c193qk" TargetMode="External"/><Relationship Id="rId31" Type="http://schemas.openxmlformats.org/officeDocument/2006/relationships/hyperlink" Target="https://library.mededtech.ru/rest/documents/sp2.4.3648_20/" TargetMode="External"/><Relationship Id="rId32" Type="http://schemas.openxmlformats.org/officeDocument/2006/relationships/hyperlink" Target="https://library.mededtech.ru/rest/documents/sp2.4.3648_20/#list_item_qp2487" TargetMode="External"/><Relationship Id="rId33" Type="http://schemas.openxmlformats.org/officeDocument/2006/relationships/image" Target="media/image9.png"/><Relationship Id="rId34" Type="http://schemas.openxmlformats.org/officeDocument/2006/relationships/hyperlink" Target="https://library.mededtech.ru/rest/documents/sp2.4.3648_20/#list_item_j626uf" TargetMode="External"/><Relationship Id="rId35" Type="http://schemas.openxmlformats.org/officeDocument/2006/relationships/hyperlink" Target="https://library.mededtech.ru/rest/documents/sp2.4.3648_20/#list_item_a8jdft" TargetMode="External"/><Relationship Id="rId36" Type="http://schemas.openxmlformats.org/officeDocument/2006/relationships/hyperlink" Target="https://library.mededtech.ru/rest/documents/sp2.4.3648_20/#list_item_4oou5c" TargetMode="External"/><Relationship Id="rId37" Type="http://schemas.openxmlformats.org/officeDocument/2006/relationships/hyperlink" Target="https://library.mededtech.ru/rest/documents/sp2.4.3648_20/#list_item_i17m52" TargetMode="External"/><Relationship Id="rId38" Type="http://schemas.openxmlformats.org/officeDocument/2006/relationships/hyperlink" Target="https://library.mededtech.ru/rest/documents/sp2.4.3648_20/#list_item_86jgom" TargetMode="External"/><Relationship Id="rId39" Type="http://schemas.openxmlformats.org/officeDocument/2006/relationships/hyperlink" Target="https://library.mededtech.ru/rest/documents/sp1.2.3685-21/" TargetMode="External"/><Relationship Id="rId40" Type="http://schemas.openxmlformats.org/officeDocument/2006/relationships/hyperlink" Target="https://library.mededtech.ru/rest/documents/sp1.2.3685-21/#tab6_8" TargetMode="External"/><Relationship Id="rId41" Type="http://schemas.openxmlformats.org/officeDocument/2006/relationships/hyperlink" Target="https://library.mededtech.ru/rest/documents/sp2.4.3648_20/#list_item_e7mn4b" TargetMode="External"/><Relationship Id="rId42" Type="http://schemas.openxmlformats.org/officeDocument/2006/relationships/hyperlink" Target="https://library.mededtech.ru/rest/documents/sp1.2.3685-21/#list_item_g30ipc" TargetMode="External"/><Relationship Id="rId43" Type="http://schemas.openxmlformats.org/officeDocument/2006/relationships/hyperlink" Target="https://library.mededtech.ru/rest/documents/sp2.4.3648_20/#list_item_imd9qn" TargetMode="External"/><Relationship Id="rId44" Type="http://schemas.openxmlformats.org/officeDocument/2006/relationships/hyperlink" Target="https://library.mededtech.ru/rest/documents/sp2.4.3648_20/#list_item_rbubs1" TargetMode="External"/><Relationship Id="rId45" Type="http://schemas.openxmlformats.org/officeDocument/2006/relationships/hyperlink" Target="https://library.mededtech.ru/rest/documents/sp2.4.3648_20/#list_item_74464b" TargetMode="External"/><Relationship Id="rId46" Type="http://schemas.openxmlformats.org/officeDocument/2006/relationships/hyperlink" Target="https://library.mededtech.ru/rest/documents/TP_TC_008_2011/" TargetMode="External"/><Relationship Id="rId47" Type="http://schemas.openxmlformats.org/officeDocument/2006/relationships/hyperlink" Target="https://library.mededtech.ru/rest/documents/TP_TC_008_2011/#list_item_sstmgb" TargetMode="External"/><Relationship Id="rId48" Type="http://schemas.openxmlformats.org/officeDocument/2006/relationships/hyperlink" Target="https://library.mededtech.ru/rest/documents/TP_TC_008_2011/#list_item_ha07is" TargetMode="External"/><Relationship Id="rId49" Type="http://schemas.openxmlformats.org/officeDocument/2006/relationships/hyperlink" Target="https://library.mededtech.ru/rest/documents/sp2.4.3648_20/#list_item_9t3be7" TargetMode="External"/><Relationship Id="rId50" Type="http://schemas.openxmlformats.org/officeDocument/2006/relationships/hyperlink" Target="https://library.mededtech.ru/rest/documents/sp2.4.3648_20/#list_item_dr6t1v" TargetMode="External"/><Relationship Id="rId51" Type="http://schemas.openxmlformats.org/officeDocument/2006/relationships/hyperlink" Target="https://library.mededtech.ru/rest/documents/sp2.4.3648_20/#list_item_749shk" TargetMode="External"/><Relationship Id="rId52" Type="http://schemas.openxmlformats.org/officeDocument/2006/relationships/hyperlink" Target="https://library.mededtech.ru/rest/documents/sp2.4.3648_20/#list_item_i30laa" TargetMode="External"/><Relationship Id="rId53" Type="http://schemas.openxmlformats.org/officeDocument/2006/relationships/hyperlink" Target="https://library.mededtech.ru/rest/documents/sp1.2.3685-21/#tab6_6" TargetMode="External"/><Relationship Id="rId54" Type="http://schemas.openxmlformats.org/officeDocument/2006/relationships/hyperlink" Target="https://library.mededtech.ru/rest/documents/sp2.4.3648_20/#list_item_n4ei9d" TargetMode="External"/><Relationship Id="rId55" Type="http://schemas.openxmlformats.org/officeDocument/2006/relationships/hyperlink" Target="https://library.mededtech.ru/rest/documents/sp2.4.3648_20/#list_item_n7a362" TargetMode="External"/><Relationship Id="rId56" Type="http://schemas.openxmlformats.org/officeDocument/2006/relationships/hyperlink" Target="https://library.mededtech.ru/rest/documents/sp2.4.3648_20/#list_item_rrv0q5" TargetMode="External"/><Relationship Id="rId57" Type="http://schemas.openxmlformats.org/officeDocument/2006/relationships/hyperlink" Target="https://library.mededtech.ru/rest/documents/sp2.4.3648_20/#list_item_lafnk1" TargetMode="External"/><Relationship Id="rId58" Type="http://schemas.openxmlformats.org/officeDocument/2006/relationships/hyperlink" Target="https://library.mededtech.ru/rest/documents/sp2.4.3648_20/#list_item_qftn54" TargetMode="External"/><Relationship Id="rId59" Type="http://schemas.openxmlformats.org/officeDocument/2006/relationships/hyperlink" Target="https://library.mededtech.ru/rest/documents/sp2.4.3648_20/#list_item_e34ht4" TargetMode="External"/><Relationship Id="rId60" Type="http://schemas.openxmlformats.org/officeDocument/2006/relationships/hyperlink" Target="https://library.mededtech.ru/rest/documents/sp2.4.3648_20/#list_item_b25902" TargetMode="External"/><Relationship Id="rId61" Type="http://schemas.openxmlformats.org/officeDocument/2006/relationships/hyperlink" Target="https://library.mededtech.ru/rest/documents/sp2.4.3648_20/#list_item_3d16rj" TargetMode="External"/><Relationship Id="rId62" Type="http://schemas.openxmlformats.org/officeDocument/2006/relationships/hyperlink" Target="https://library.mededtech.ru/rest/documents/sp2.4.3648_20/#list_item_f3k4kb" TargetMode="External"/><Relationship Id="rId63" Type="http://schemas.openxmlformats.org/officeDocument/2006/relationships/hyperlink" Target="https://library.mededtech.ru/rest/documents/sp2.4.3648_20/#paragraph_27il16" TargetMode="External"/><Relationship Id="rId64" Type="http://schemas.openxmlformats.org/officeDocument/2006/relationships/hyperlink" Target="https://library.mededtech.ru/rest/documents/fzN248/#list_item_lb2dva" TargetMode="External"/><Relationship Id="rId65" Type="http://schemas.openxmlformats.org/officeDocument/2006/relationships/hyperlink" Target="https://library.mededtech.ru/rest/documents/fzN248/#list_item_pthprd" TargetMode="External"/><Relationship Id="rId66" Type="http://schemas.openxmlformats.org/officeDocument/2006/relationships/hyperlink" Target="https://library.mededtech.ru/rest/documents/post1100/" TargetMode="External"/><Relationship Id="rId67" Type="http://schemas.openxmlformats.org/officeDocument/2006/relationships/hyperlink" Target="https://library.mededtech.ru/rest/documents/post1100/#list_item_2g7ofs" TargetMode="External"/><Relationship Id="rId68" Type="http://schemas.openxmlformats.org/officeDocument/2006/relationships/hyperlink" Target="https://library.mededtech.ru/rest/documents/post1100/#table_162id5" TargetMode="External"/><Relationship Id="rId69" Type="http://schemas.openxmlformats.org/officeDocument/2006/relationships/hyperlink" Target="https://library.mededtech.ru/rest/documents/fzN248/#list_item_t0blsu" TargetMode="External"/><Relationship Id="rId70" Type="http://schemas.openxmlformats.org/officeDocument/2006/relationships/hyperlink" Target="https://library.mededtech.ru/rest/documents/sp1.2.3685-21/#vi_&#1043;&#1080;&#1075;&#1080;&#1077;&#1085;&#1080;&#1095;&#1077;&#1089;&#1082;&#1080;&#1077;_&#1085;&#1086;&#1088;&#1084;&#1072;&#1090;&#1080;&#1074;&#1099;_&#1087;&#1086;_&#1091;&#1089;&#1090;&#1088;&#1086;&#1081;&#1089;&#1090;&#1074;&#1091;_&#1089;&#1086;&#1076;&#1077;&#1088;&#1078;&#1072;&#1085;&#1080;&#1102;_&#1080;_&#1088;&#1077;&#1078;&#1080;&#1084;&#1091;_&#1088;&#1072;&#1073;&#1086;&#1090;&#1099;_&#1086;&#1088;&#1075;&#1072;&#1085;&#1080;&#1079;&#1072;&#1094;&#1080;&#1081;_&#1074;&#1086;&#1089;&#1087;&#1080;&#1090;&#1072;&#1085;&#1080;&#1103;_&#1080;_&#1086;&#1073;&#1091;&#1095;&#1077;&#1085;&#1080;&#1103;_&#1086;&#1090;&#1076;&#1099;&#1093;&#1072;_&#1080;_&#1086;&#1079;&#1076;&#1086;&#1088;&#1086;&#1074;&#1083;&#1077;&#1085;&#1080;&#1103;_&#1076;&#1077;&#1090;&#1077;&#1081;_&#1080;_&#1084;&#1086;&#1083;&#1086;&#1076;&#1077;&#1078;&#1080;" TargetMode="External"/><Relationship Id="rId71" Type="http://schemas.openxmlformats.org/officeDocument/2006/relationships/hyperlink" Target="https://library.mededtech.ru/rest/documents/post1100/#list_item_h6fi9v" TargetMode="External"/><Relationship Id="rId72" Type="http://schemas.openxmlformats.org/officeDocument/2006/relationships/hyperlink" Target="https://library.mededtech.ru/rest/documents/sp2.4.3648_20/#p_1_1" TargetMode="External"/><Relationship Id="rId73" Type="http://schemas.openxmlformats.org/officeDocument/2006/relationships/hyperlink" Target="https://library.mededtech.ru/rest/documents/post1100/#list_item_tbfueq" TargetMode="External"/><Relationship Id="rId74" Type="http://schemas.openxmlformats.org/officeDocument/2006/relationships/hyperlink" Target="https://library.mededtech.ru/rest/documents/fzN248/#list_item_2tn8v2" TargetMode="External"/><Relationship Id="rId75" Type="http://schemas.openxmlformats.org/officeDocument/2006/relationships/hyperlink" Target="https://library.mededtech.ru/rest/documents/sp2.4.3648_20/#list_item_m2gr55" TargetMode="External"/><Relationship Id="rId76" Type="http://schemas.openxmlformats.org/officeDocument/2006/relationships/hyperlink" Target="https://library.mededtech.ru/rest/documents/sp2.4.3648_20/#list_item_u32gck" TargetMode="External"/><Relationship Id="rId77" Type="http://schemas.openxmlformats.org/officeDocument/2006/relationships/hyperlink" Target="https://library.mededtech.ru/rest/documents/sp2.4.3648_20/#list_item_h5b23u" TargetMode="External"/><Relationship Id="rId78" Type="http://schemas.openxmlformats.org/officeDocument/2006/relationships/hyperlink" Target="https://library.mededtech.ru/rest/documents/sp2.4.3648_20/#list_item_8emj5t" TargetMode="External"/><Relationship Id="rId79" Type="http://schemas.openxmlformats.org/officeDocument/2006/relationships/hyperlink" Target="https://library.mededtech.ru/rest/documents/sp2.4.3648_20/#list_item_2tif12" TargetMode="External"/><Relationship Id="rId80" Type="http://schemas.openxmlformats.org/officeDocument/2006/relationships/hyperlink" Target="https://library.mededtech.ru/rest/documents/sp2.4.3648_20/#list_item_j3661m" TargetMode="External"/><Relationship Id="rId81" Type="http://schemas.openxmlformats.org/officeDocument/2006/relationships/hyperlink" Target="https://library.mededtech.ru/rest/documents/sp1.2.3685-21/#tab3_13" TargetMode="External"/><Relationship Id="rId82" Type="http://schemas.openxmlformats.org/officeDocument/2006/relationships/hyperlink" Target="https://library.mededtech.ru/rest/documents/sp1.2.3685-21/#tab3_5" TargetMode="External"/><Relationship Id="rId83" Type="http://schemas.openxmlformats.org/officeDocument/2006/relationships/hyperlink" Target="https://library.mededtech.ru/rest/documents/sp1.2.3685-21/#tab3_1" TargetMode="External"/><Relationship Id="rId84" Type="http://schemas.openxmlformats.org/officeDocument/2006/relationships/hyperlink" Target="https://library.mededtech.ru/rest/documents/sp1.2.3685-21/#list_item_0sjbuo" TargetMode="External"/><Relationship Id="rId85" Type="http://schemas.openxmlformats.org/officeDocument/2006/relationships/hyperlink" Target="https://library.mededtech.ru/rest/documents/sp1.2.3685-21/#tab3_10" TargetMode="External"/><Relationship Id="rId86" Type="http://schemas.openxmlformats.org/officeDocument/2006/relationships/hyperlink" Target="https://library.mededtech.ru/rest/documents/sp2.4.3648_20/#list_item_5brk6b" TargetMode="External"/><Relationship Id="rId87" Type="http://schemas.openxmlformats.org/officeDocument/2006/relationships/hyperlink" Target="https://library.mededtech.ru/rest/documents/sp1.2.3685-21/#tab6_7" TargetMode="External"/><Relationship Id="rId88" Type="http://schemas.openxmlformats.org/officeDocument/2006/relationships/hyperlink" Target="https://library.mededtech.ru/rest/documents/sp2.4.3648_20/#list_item_oa4di8" TargetMode="External"/><Relationship Id="rId89" Type="http://schemas.openxmlformats.org/officeDocument/2006/relationships/hyperlink" Target="https://library.mededtech.ru/rest/documents/sp2.4.3648_20/#list_item_2di2lb" TargetMode="External"/><Relationship Id="rId90" Type="http://schemas.openxmlformats.org/officeDocument/2006/relationships/hyperlink" Target="https://library.mededtech.ru/rest/documents/sp1.2.3685-21/#tab6_16" TargetMode="External"/><Relationship Id="rId91" Type="http://schemas.openxmlformats.org/officeDocument/2006/relationships/hyperlink" Target="https://library.mededtech.ru/rest/documents/fzN248/#list_item_oas4qb" TargetMode="External"/><Relationship Id="rId92" Type="http://schemas.openxmlformats.org/officeDocument/2006/relationships/hyperlink" Target="https://library.mededtech.ru/rest/documents/fzN248/#list_item_ilhp25" TargetMode="External"/><Relationship Id="rId93" Type="http://schemas.openxmlformats.org/officeDocument/2006/relationships/hyperlink" Target="https://library.mededtech.ru/rest/documents/fzN248/#list_item_pstblq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